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698FA08" w14:textId="77777777" w:rsidR="00197266" w:rsidRPr="00B51235" w:rsidRDefault="00197266" w:rsidP="001807A6">
      <w:pPr>
        <w:jc w:val="center"/>
        <w:rPr>
          <w:rFonts w:ascii="Calibri" w:hAnsi="Calibri" w:cs="Calibri"/>
          <w:b/>
          <w:sz w:val="56"/>
          <w:szCs w:val="56"/>
        </w:rPr>
      </w:pPr>
      <w:r w:rsidRPr="00B51235">
        <w:rPr>
          <w:rFonts w:ascii="Calibri" w:hAnsi="Calibri" w:cs="Calibri"/>
          <w:b/>
          <w:sz w:val="56"/>
          <w:szCs w:val="56"/>
        </w:rPr>
        <w:t>English Legal Syste</w:t>
      </w:r>
      <w:bookmarkStart w:id="0" w:name="_GoBack"/>
      <w:bookmarkEnd w:id="0"/>
      <w:r w:rsidRPr="00B51235">
        <w:rPr>
          <w:rFonts w:ascii="Calibri" w:hAnsi="Calibri" w:cs="Calibri"/>
          <w:b/>
          <w:sz w:val="56"/>
          <w:szCs w:val="56"/>
        </w:rPr>
        <w:t>m (Alex)</w:t>
      </w:r>
    </w:p>
    <w:p w14:paraId="25BCD023" w14:textId="77777777" w:rsidR="001807A6" w:rsidRDefault="00587495" w:rsidP="001807A6">
      <w:pPr>
        <w:jc w:val="center"/>
        <w:rPr>
          <w:rFonts w:ascii="Calibri" w:hAnsi="Calibri" w:cs="Calibri"/>
          <w:b/>
          <w:sz w:val="56"/>
          <w:szCs w:val="56"/>
        </w:rPr>
      </w:pPr>
      <w:r w:rsidRPr="00B51235">
        <w:rPr>
          <w:rFonts w:ascii="Calibri" w:hAnsi="Calibri" w:cs="Calibri"/>
          <w:b/>
          <w:sz w:val="56"/>
          <w:szCs w:val="56"/>
        </w:rPr>
        <w:t xml:space="preserve"> </w:t>
      </w:r>
      <w:r w:rsidR="001807A6" w:rsidRPr="00B51235">
        <w:rPr>
          <w:rFonts w:ascii="Calibri" w:hAnsi="Calibri" w:cs="Calibri"/>
          <w:b/>
          <w:sz w:val="56"/>
          <w:szCs w:val="56"/>
        </w:rPr>
        <w:t xml:space="preserve">Essay </w:t>
      </w:r>
      <w:r w:rsidRPr="00B51235">
        <w:rPr>
          <w:rFonts w:ascii="Calibri" w:hAnsi="Calibri" w:cs="Calibri"/>
          <w:b/>
          <w:sz w:val="56"/>
          <w:szCs w:val="56"/>
        </w:rPr>
        <w:t>Coursework</w:t>
      </w:r>
    </w:p>
    <w:p w14:paraId="57899047" w14:textId="77777777" w:rsidR="004764DD" w:rsidRPr="004764DD" w:rsidRDefault="004764DD" w:rsidP="001807A6">
      <w:pPr>
        <w:jc w:val="center"/>
        <w:rPr>
          <w:rFonts w:ascii="Calibri" w:hAnsi="Calibri" w:cs="Calibri"/>
          <w:b/>
          <w:sz w:val="21"/>
          <w:szCs w:val="21"/>
        </w:rPr>
      </w:pPr>
    </w:p>
    <w:p w14:paraId="1D645372" w14:textId="77777777" w:rsidR="00EC6722" w:rsidRDefault="00EC6722" w:rsidP="00EC6722">
      <w:pPr>
        <w:spacing w:line="480" w:lineRule="auto"/>
        <w:jc w:val="center"/>
        <w:rPr>
          <w:rFonts w:cs="Times New Roman"/>
          <w:b/>
          <w:bCs/>
          <w:i/>
          <w:iCs/>
          <w:sz w:val="20"/>
          <w:szCs w:val="20"/>
        </w:rPr>
      </w:pPr>
      <w:r w:rsidRPr="00EC6722">
        <w:rPr>
          <w:rFonts w:cs="Times New Roman"/>
          <w:b/>
          <w:bCs/>
          <w:i/>
          <w:iCs/>
          <w:sz w:val="20"/>
          <w:szCs w:val="20"/>
        </w:rPr>
        <w:t>Describe and evaluate the introduction and use of the 1966 Practice Statement. Do you agree with Lord Denning in the case of Davis v Johnson (1977) where he said that the Court of Appeal should also be able to overrule its own previous decisions if they are wrong in law? (1000 words)</w:t>
      </w:r>
    </w:p>
    <w:p w14:paraId="2CE1FBCE" w14:textId="77777777" w:rsidR="00EC6722" w:rsidRPr="00EC6722" w:rsidRDefault="00EC6722" w:rsidP="00EC6722">
      <w:pPr>
        <w:spacing w:line="480" w:lineRule="auto"/>
        <w:jc w:val="center"/>
        <w:rPr>
          <w:rFonts w:eastAsiaTheme="minorEastAsia" w:cs="Arial"/>
          <w:b/>
          <w:bCs/>
          <w:iCs/>
          <w:color w:val="000000" w:themeColor="text1"/>
          <w:kern w:val="0"/>
          <w:sz w:val="20"/>
          <w:szCs w:val="20"/>
          <w:lang w:eastAsia="zh-CN" w:bidi="ar-SA"/>
        </w:rPr>
      </w:pPr>
    </w:p>
    <w:p w14:paraId="7485DAEF" w14:textId="77777777" w:rsidR="00EC6722" w:rsidRPr="00EC6722" w:rsidRDefault="00EC6722" w:rsidP="00EC6722">
      <w:pPr>
        <w:spacing w:line="480" w:lineRule="auto"/>
        <w:jc w:val="center"/>
        <w:rPr>
          <w:rFonts w:eastAsiaTheme="minorEastAsia" w:cs="Arial"/>
          <w:b/>
          <w:bCs/>
          <w:iCs/>
          <w:color w:val="000000" w:themeColor="text1"/>
          <w:kern w:val="0"/>
          <w:sz w:val="20"/>
          <w:szCs w:val="15"/>
          <w:lang w:eastAsia="zh-CN" w:bidi="ar-SA"/>
        </w:rPr>
      </w:pPr>
      <w:r w:rsidRPr="00EC6722">
        <w:rPr>
          <w:rFonts w:eastAsiaTheme="minorEastAsia" w:cs="Arial"/>
          <w:b/>
          <w:bCs/>
          <w:iCs/>
          <w:color w:val="000000" w:themeColor="text1"/>
          <w:kern w:val="0"/>
          <w:sz w:val="20"/>
          <w:szCs w:val="15"/>
          <w:lang w:eastAsia="zh-CN" w:bidi="ar-SA"/>
        </w:rPr>
        <w:t>Discussion on following the principle of precedent</w:t>
      </w:r>
    </w:p>
    <w:p w14:paraId="4E2CFF81" w14:textId="77777777" w:rsidR="00EC6722" w:rsidRPr="00EC6722" w:rsidRDefault="00EC6722" w:rsidP="00EC6722">
      <w:pPr>
        <w:spacing w:line="480" w:lineRule="auto"/>
        <w:rPr>
          <w:rFonts w:eastAsiaTheme="minorEastAsia" w:cs="Arial"/>
          <w:color w:val="000000" w:themeColor="text1"/>
          <w:kern w:val="20"/>
          <w:sz w:val="20"/>
          <w:szCs w:val="20"/>
          <w:lang w:val="en-GB" w:eastAsia="en-US" w:bidi="ar-SA"/>
        </w:rPr>
      </w:pPr>
    </w:p>
    <w:p w14:paraId="2F52DB4B" w14:textId="77777777" w:rsidR="00EC6722" w:rsidRPr="00EC6722" w:rsidRDefault="00EC6722" w:rsidP="00EC6722">
      <w:pPr>
        <w:spacing w:line="480" w:lineRule="auto"/>
        <w:rPr>
          <w:rFonts w:eastAsiaTheme="minorEastAsia" w:cs="Arial"/>
          <w:b/>
          <w:bCs/>
          <w:color w:val="000000" w:themeColor="text1"/>
          <w:kern w:val="20"/>
          <w:sz w:val="20"/>
          <w:szCs w:val="20"/>
          <w:lang w:eastAsia="zh-CN" w:bidi="ar-SA"/>
        </w:rPr>
      </w:pPr>
      <w:r w:rsidRPr="00EC6722">
        <w:rPr>
          <w:rFonts w:eastAsiaTheme="minorEastAsia" w:cs="Arial" w:hint="eastAsia"/>
          <w:b/>
          <w:bCs/>
          <w:color w:val="000000" w:themeColor="text1"/>
          <w:kern w:val="20"/>
          <w:sz w:val="20"/>
          <w:szCs w:val="20"/>
          <w:lang w:eastAsia="zh-CN" w:bidi="ar-SA"/>
        </w:rPr>
        <w:t>I</w:t>
      </w:r>
      <w:r w:rsidRPr="00EC6722">
        <w:rPr>
          <w:rFonts w:eastAsiaTheme="minorEastAsia" w:cs="Arial"/>
          <w:b/>
          <w:bCs/>
          <w:color w:val="000000" w:themeColor="text1"/>
          <w:kern w:val="20"/>
          <w:sz w:val="20"/>
          <w:szCs w:val="20"/>
          <w:lang w:eastAsia="zh-CN" w:bidi="ar-SA"/>
        </w:rPr>
        <w:t>ntroduction</w:t>
      </w:r>
    </w:p>
    <w:p w14:paraId="18B3A783"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commentRangeStart w:id="1"/>
      <w:r w:rsidRPr="00EC6722">
        <w:rPr>
          <w:rFonts w:eastAsiaTheme="minorEastAsia" w:cs="Arial"/>
          <w:color w:val="000000" w:themeColor="text1"/>
          <w:kern w:val="20"/>
          <w:sz w:val="20"/>
          <w:szCs w:val="20"/>
          <w:lang w:eastAsia="zh-CN" w:bidi="ar-SA"/>
        </w:rPr>
        <w:t xml:space="preserve">In the Anglo-American legal system, case law is its main source of law and can be used as the basis and source for judges to hear judgments in specific cases. In the development of case law, an important principle of application, followed by the principle of precedent (stare decisis), has also become a core principle in the jurisprudence system. Once the judicial precedent is established, it has considerable authority and cannot be arbitrarily overturned. This is the most basic of case law. According to this principle, a court should usually follow its own prior judgment, and each court should follow a higher-level court decision. In strict compliance with the principle of precedent, the court is absolutely not allowed to ignore or ignore the precedent. </w:t>
      </w:r>
    </w:p>
    <w:p w14:paraId="3F2E0935"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r w:rsidRPr="00EC6722">
        <w:rPr>
          <w:rFonts w:eastAsiaTheme="minorEastAsia" w:cs="Arial"/>
          <w:color w:val="000000" w:themeColor="text1"/>
          <w:kern w:val="20"/>
          <w:sz w:val="20"/>
          <w:szCs w:val="20"/>
          <w:lang w:eastAsia="zh-CN" w:bidi="ar-SA"/>
        </w:rPr>
        <w:t>This article will look into the principle of following the preceden</w:t>
      </w:r>
      <w:r w:rsidR="00811C7C">
        <w:rPr>
          <w:rFonts w:eastAsiaTheme="minorEastAsia" w:cs="Arial"/>
          <w:color w:val="000000" w:themeColor="text1"/>
          <w:kern w:val="20"/>
          <w:sz w:val="20"/>
          <w:szCs w:val="20"/>
          <w:lang w:eastAsia="zh-CN" w:bidi="ar-SA"/>
        </w:rPr>
        <w:t>t</w:t>
      </w:r>
      <w:r w:rsidRPr="00EC6722">
        <w:rPr>
          <w:rFonts w:eastAsiaTheme="minorEastAsia" w:cs="Arial"/>
          <w:color w:val="000000" w:themeColor="text1"/>
          <w:kern w:val="20"/>
          <w:sz w:val="20"/>
          <w:szCs w:val="20"/>
          <w:lang w:eastAsia="zh-CN" w:bidi="ar-SA"/>
        </w:rPr>
        <w:t xml:space="preserve"> to demonstrate that the court of Appeal should be able to overrule its own previous decisions if they are wrong in law.</w:t>
      </w:r>
      <w:commentRangeEnd w:id="1"/>
      <w:r w:rsidR="00F932DE">
        <w:rPr>
          <w:rStyle w:val="CommentReference"/>
        </w:rPr>
        <w:commentReference w:id="1"/>
      </w:r>
    </w:p>
    <w:p w14:paraId="64240E11"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p>
    <w:p w14:paraId="563C9DE2" w14:textId="77777777" w:rsidR="00EC6722" w:rsidRPr="00EC6722" w:rsidRDefault="00EC6722" w:rsidP="00EC6722">
      <w:pPr>
        <w:spacing w:line="480" w:lineRule="auto"/>
        <w:rPr>
          <w:rFonts w:eastAsiaTheme="minorEastAsia" w:cs="Arial"/>
          <w:b/>
          <w:bCs/>
          <w:color w:val="000000" w:themeColor="text1"/>
          <w:kern w:val="20"/>
          <w:sz w:val="20"/>
          <w:szCs w:val="20"/>
          <w:lang w:eastAsia="zh-CN" w:bidi="ar-SA"/>
        </w:rPr>
      </w:pPr>
      <w:commentRangeStart w:id="2"/>
      <w:r w:rsidRPr="00EC6722">
        <w:rPr>
          <w:rFonts w:eastAsiaTheme="minorEastAsia" w:cs="Arial" w:hint="eastAsia"/>
          <w:b/>
          <w:bCs/>
          <w:color w:val="000000" w:themeColor="text1"/>
          <w:kern w:val="20"/>
          <w:sz w:val="20"/>
          <w:szCs w:val="20"/>
          <w:lang w:eastAsia="zh-CN" w:bidi="ar-SA"/>
        </w:rPr>
        <w:t>M</w:t>
      </w:r>
      <w:r w:rsidRPr="00EC6722">
        <w:rPr>
          <w:rFonts w:eastAsiaTheme="minorEastAsia" w:cs="Arial"/>
          <w:b/>
          <w:bCs/>
          <w:color w:val="000000" w:themeColor="text1"/>
          <w:kern w:val="20"/>
          <w:sz w:val="20"/>
          <w:szCs w:val="20"/>
          <w:lang w:eastAsia="zh-CN" w:bidi="ar-SA"/>
        </w:rPr>
        <w:t>ain Body</w:t>
      </w:r>
    </w:p>
    <w:p w14:paraId="6E81BCAB"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r w:rsidRPr="00EC6722">
        <w:rPr>
          <w:rFonts w:eastAsiaTheme="minorEastAsia" w:cs="Arial"/>
          <w:color w:val="000000" w:themeColor="text1"/>
          <w:kern w:val="20"/>
          <w:sz w:val="20"/>
          <w:szCs w:val="20"/>
          <w:lang w:eastAsia="zh-CN" w:bidi="ar-SA"/>
        </w:rPr>
        <w:t xml:space="preserve">In strict compliance with the principle of precedent, the court is absolutely not allowed to ignore or ignore precedents, a feature that raises widespread concern about whether compliance with precedents leads to judicial rigidity. Since it is possible to be dangerous, it is necessary to ask the value of following the precedent principle. In this regard, Bodenheimer listed five helpful factors: </w:t>
      </w:r>
    </w:p>
    <w:p w14:paraId="022FD699"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r w:rsidRPr="00EC6722">
        <w:rPr>
          <w:rFonts w:eastAsiaTheme="minorEastAsia" w:cs="Arial"/>
          <w:color w:val="000000" w:themeColor="text1"/>
          <w:kern w:val="20"/>
          <w:sz w:val="20"/>
          <w:szCs w:val="20"/>
          <w:lang w:eastAsia="zh-CN" w:bidi="ar-SA"/>
        </w:rPr>
        <w:t xml:space="preserve">(1) introducing certain certainty and predictability into the plan for private activities; and (2) providing an established basis for lawyers to conduct legal reasoning and legal counseling. (3) Constraining the judge's arbitrariness, preventing prejudice, and reducing the personal color of the judgment; (4) conforming to the </w:t>
      </w:r>
      <w:r w:rsidRPr="00EC6722">
        <w:rPr>
          <w:rFonts w:eastAsiaTheme="minorEastAsia" w:cs="Arial"/>
          <w:color w:val="000000" w:themeColor="text1"/>
          <w:kern w:val="20"/>
          <w:sz w:val="20"/>
          <w:szCs w:val="20"/>
          <w:lang w:eastAsia="zh-CN" w:bidi="ar-SA"/>
        </w:rPr>
        <w:lastRenderedPageBreak/>
        <w:t xml:space="preserve">principle of judicial efficiency, "if every former case can be reopened, if a person cannot be laid in the process of predecessors On a solid foundation, the process of the judges will be greatly increased, and the judge’s labor will be greatly increased, which will be unbearable"; </w:t>
      </w:r>
      <w:commentRangeEnd w:id="2"/>
      <w:r w:rsidR="00F932DE">
        <w:rPr>
          <w:rStyle w:val="CommentReference"/>
        </w:rPr>
        <w:commentReference w:id="2"/>
      </w:r>
      <w:r w:rsidRPr="00EC6722">
        <w:rPr>
          <w:rFonts w:eastAsiaTheme="minorEastAsia" w:cs="Arial"/>
          <w:color w:val="000000" w:themeColor="text1"/>
          <w:kern w:val="20"/>
          <w:sz w:val="20"/>
          <w:szCs w:val="20"/>
          <w:lang w:eastAsia="zh-CN" w:bidi="ar-SA"/>
        </w:rPr>
        <w:t>(5) in accordance with the requirements of a sense of justice, "if in one case yesterday, the judgment is not conducive to me as the defendant</w:t>
      </w:r>
      <w:commentRangeStart w:id="3"/>
      <w:r w:rsidRPr="00EC6722">
        <w:rPr>
          <w:rFonts w:eastAsiaTheme="minorEastAsia" w:cs="Arial"/>
          <w:color w:val="000000" w:themeColor="text1"/>
          <w:kern w:val="20"/>
          <w:sz w:val="20"/>
          <w:szCs w:val="20"/>
          <w:lang w:eastAsia="zh-CN" w:bidi="ar-SA"/>
        </w:rPr>
        <w:t>; Today I am the plaintiff, I will look forward to the same judgment in this case. If it is different, I will feel a sense of anger and injustice in my chest; it will be a violation of my substantive rights and moral rights. Every case is the same, everyone will feel the power of this feeling.”</w:t>
      </w:r>
      <w:commentRangeEnd w:id="3"/>
      <w:r w:rsidR="00F932DE">
        <w:rPr>
          <w:rStyle w:val="CommentReference"/>
        </w:rPr>
        <w:commentReference w:id="3"/>
      </w:r>
    </w:p>
    <w:p w14:paraId="00486368"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p>
    <w:p w14:paraId="741A4C9F"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commentRangeStart w:id="4"/>
      <w:r w:rsidRPr="00EC6722">
        <w:rPr>
          <w:rFonts w:eastAsiaTheme="minorEastAsia" w:cs="Arial"/>
          <w:color w:val="000000" w:themeColor="text1"/>
          <w:kern w:val="20"/>
          <w:sz w:val="20"/>
          <w:szCs w:val="20"/>
          <w:lang w:eastAsia="zh-CN" w:bidi="ar-SA"/>
        </w:rPr>
        <w:t>According to Llewellyn's theory, this situation differs because of “legal” or “illegal”. But whether it is legal non-compliance or illegal non-compliance, it is a very simple situation. The judge does not even need to use judicial technology, so there is not much to do with this kind of situation. Second, the current case is similar to the previous judgment, and the precedent should apply and not applicable. This situation is more complicated. Generally speaking, it is considered that there is a substantial difference between the current case and the previous judgment in fact or in law, or that following the precedent will cause obvious unfairness. We call this case a “limited difference”. The discussion of the difference technology is based on this.</w:t>
      </w:r>
      <w:commentRangeEnd w:id="4"/>
      <w:r w:rsidR="00F932DE">
        <w:rPr>
          <w:rStyle w:val="CommentReference"/>
        </w:rPr>
        <w:commentReference w:id="4"/>
      </w:r>
    </w:p>
    <w:p w14:paraId="2FFA574F"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p>
    <w:p w14:paraId="31F43C67"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r w:rsidRPr="00EC6722">
        <w:rPr>
          <w:rFonts w:eastAsiaTheme="minorEastAsia" w:cs="Arial"/>
          <w:color w:val="000000" w:themeColor="text1"/>
          <w:kern w:val="20"/>
          <w:sz w:val="20"/>
          <w:szCs w:val="20"/>
          <w:lang w:eastAsia="zh-CN" w:bidi="ar-SA"/>
        </w:rPr>
        <w:t xml:space="preserve">In Zander’s view, the “distinction” is actually the demarcation line, which is the scope of application of a precedent rule. How large is its original scope? When the situation changes, its scope should be expanded or reduced to. To what extent, </w:t>
      </w:r>
      <w:r w:rsidR="00811C7C">
        <w:rPr>
          <w:rFonts w:eastAsiaTheme="minorEastAsia" w:cs="Arial"/>
          <w:color w:val="000000" w:themeColor="text1"/>
          <w:kern w:val="20"/>
          <w:sz w:val="20"/>
          <w:szCs w:val="20"/>
          <w:lang w:eastAsia="zh-CN" w:bidi="ar-SA"/>
        </w:rPr>
        <w:t>t</w:t>
      </w:r>
      <w:r w:rsidRPr="00EC6722">
        <w:rPr>
          <w:rFonts w:eastAsiaTheme="minorEastAsia" w:cs="Arial"/>
          <w:color w:val="000000" w:themeColor="text1"/>
          <w:kern w:val="20"/>
          <w:sz w:val="20"/>
          <w:szCs w:val="20"/>
          <w:lang w:eastAsia="zh-CN" w:bidi="ar-SA"/>
        </w:rPr>
        <w:t xml:space="preserve">he core issue in this process is the factual and legal differences between the previous judgment and the current case. If the difference is more important than the similarity, it can be concluded that the two are not directly related and the judge has no obligation to comply. The use of this technology seems to be simple and thorny. First of all, the discovery of the reasons for the judgment is difficult. In a previous judgment, it is not clearly indicated which are the reasons for the judgment and which are the additional opinions. Secondly, the application of the difference technology is not in an all-or-nothing manner. The boundaries are adjusted repeatedly with changing practices. In this process, the judge is given a great discretion. In order to regulate the use of power, strict restrictions must be imposed on the difference technology. </w:t>
      </w:r>
    </w:p>
    <w:p w14:paraId="01BE18EF"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p>
    <w:p w14:paraId="74CF304F"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r w:rsidRPr="00EC6722">
        <w:rPr>
          <w:rFonts w:eastAsiaTheme="minorEastAsia" w:cs="Arial"/>
          <w:color w:val="000000" w:themeColor="text1"/>
          <w:kern w:val="20"/>
          <w:sz w:val="20"/>
          <w:szCs w:val="20"/>
          <w:lang w:eastAsia="zh-CN" w:bidi="ar-SA"/>
        </w:rPr>
        <w:lastRenderedPageBreak/>
        <w:t>The overthrowing technique is similar to the distinguishing technique, and the judge overturns a precedent as well as examining both facts and laws. Overrule refers to a technique in which a judge decides to abandon a precedent and loses its original binding force when it considers a pending case to consider a pending case and considers that the reason for the decision determined by the precedent is wrong or out of date. Overturning precedents can be explicit or implied. Explicitly overturned, that is, the judge explicitly declared that a precedent was overturned, resulting in the expulsion of the precedent from the case law system and no longer binding. Borrowing Lord Dunedin’s metaphor, it was completely “wiped away”. Implied overturning means that the precedent is considered to be overturned inconsistent with certain subsequent decisions of the High Court. These precedents were “not overturned explicitly” compared to the explicit overrule. The usual effect of implied overturning is that there is a rule that is contrary to the reason for the overturned precedent, and the court will follow this opposite rule. From this perspective, the previous judgment was not directly overturned, and even it was no longer necessary to be directly overthrow it was undermined.</w:t>
      </w:r>
    </w:p>
    <w:p w14:paraId="4B7D3C57" w14:textId="77777777" w:rsidR="00EC6722" w:rsidRPr="00EC6722" w:rsidRDefault="00EC6722" w:rsidP="00EC6722">
      <w:pPr>
        <w:spacing w:line="480" w:lineRule="auto"/>
        <w:rPr>
          <w:rFonts w:eastAsiaTheme="minorEastAsia" w:cs="Arial"/>
          <w:b/>
          <w:bCs/>
          <w:color w:val="000000" w:themeColor="text1"/>
          <w:kern w:val="20"/>
          <w:sz w:val="20"/>
          <w:szCs w:val="20"/>
          <w:lang w:eastAsia="zh-CN" w:bidi="ar-SA"/>
        </w:rPr>
      </w:pPr>
    </w:p>
    <w:p w14:paraId="1E80A6E8" w14:textId="77777777" w:rsidR="00EC6722" w:rsidRPr="00EC6722" w:rsidRDefault="00EC6722" w:rsidP="00EC6722">
      <w:pPr>
        <w:spacing w:line="480" w:lineRule="auto"/>
        <w:rPr>
          <w:rFonts w:eastAsiaTheme="minorEastAsia" w:cs="Arial"/>
          <w:b/>
          <w:bCs/>
          <w:color w:val="000000" w:themeColor="text1"/>
          <w:kern w:val="20"/>
          <w:sz w:val="20"/>
          <w:szCs w:val="20"/>
          <w:lang w:eastAsia="zh-CN" w:bidi="ar-SA"/>
        </w:rPr>
      </w:pPr>
      <w:r w:rsidRPr="00EC6722">
        <w:rPr>
          <w:rFonts w:eastAsiaTheme="minorEastAsia" w:cs="Arial"/>
          <w:b/>
          <w:bCs/>
          <w:color w:val="000000" w:themeColor="text1"/>
          <w:kern w:val="20"/>
          <w:sz w:val="20"/>
          <w:szCs w:val="20"/>
          <w:lang w:eastAsia="zh-CN" w:bidi="ar-SA"/>
        </w:rPr>
        <w:t>Conclusion</w:t>
      </w:r>
    </w:p>
    <w:p w14:paraId="488FC8D4" w14:textId="77777777" w:rsidR="00EC6722" w:rsidRPr="00EC6722" w:rsidRDefault="00EC6722" w:rsidP="00EC6722">
      <w:pPr>
        <w:spacing w:line="480" w:lineRule="auto"/>
        <w:rPr>
          <w:rFonts w:eastAsiaTheme="minorEastAsia" w:cs="Arial"/>
          <w:color w:val="000000" w:themeColor="text1"/>
          <w:kern w:val="20"/>
          <w:sz w:val="20"/>
          <w:szCs w:val="20"/>
          <w:lang w:eastAsia="zh-CN" w:bidi="ar-SA"/>
        </w:rPr>
      </w:pPr>
      <w:r w:rsidRPr="00EC6722">
        <w:rPr>
          <w:rFonts w:eastAsiaTheme="minorEastAsia" w:cs="Arial"/>
          <w:color w:val="000000" w:themeColor="text1"/>
          <w:kern w:val="20"/>
          <w:sz w:val="20"/>
          <w:szCs w:val="20"/>
          <w:lang w:eastAsia="zh-CN" w:bidi="ar-SA"/>
        </w:rPr>
        <w:t>The Court of Appeal is under the House of Lords in the English court system. The judgment of the Court of Appeal restriction of all lower courts is generally restricted to the court, except for its judicial decisions and the House of Lords or the Privy Council.</w:t>
      </w:r>
      <w:r w:rsidRPr="00EC6722">
        <w:rPr>
          <w:rFonts w:eastAsiaTheme="minorEastAsia" w:cs="Arial" w:hint="eastAsia"/>
          <w:color w:val="000000" w:themeColor="text1"/>
          <w:kern w:val="20"/>
          <w:sz w:val="20"/>
          <w:szCs w:val="20"/>
          <w:lang w:eastAsia="zh-CN" w:bidi="ar-SA"/>
        </w:rPr>
        <w:t xml:space="preserve"> </w:t>
      </w:r>
      <w:r w:rsidRPr="00EC6722">
        <w:rPr>
          <w:rFonts w:eastAsiaTheme="minorEastAsia" w:cs="Arial"/>
          <w:color w:val="000000" w:themeColor="text1"/>
          <w:kern w:val="20"/>
          <w:sz w:val="20"/>
          <w:szCs w:val="20"/>
          <w:lang w:eastAsia="zh-CN" w:bidi="ar-SA"/>
        </w:rPr>
        <w:t>The ruling of the Law Commission is in conflict. A fault confessed is half redressed. This is also right for the Court of Appeal to overrule its previous precedents it they are wrong in law. This power of the Court should be strictly limited since it can lead to judicial turmoil.</w:t>
      </w:r>
    </w:p>
    <w:p w14:paraId="4F184FD8" w14:textId="77777777" w:rsidR="00EC6722" w:rsidRPr="00EC6722" w:rsidRDefault="00EC6722" w:rsidP="00EC6722">
      <w:pPr>
        <w:spacing w:line="480" w:lineRule="auto"/>
        <w:jc w:val="center"/>
        <w:rPr>
          <w:rFonts w:eastAsiaTheme="minorEastAsia" w:cs="Arial"/>
          <w:b/>
          <w:bCs/>
          <w:iCs/>
          <w:color w:val="000000" w:themeColor="text1"/>
          <w:kern w:val="0"/>
          <w:sz w:val="20"/>
          <w:szCs w:val="15"/>
          <w:lang w:val="en-GB" w:eastAsia="en-US" w:bidi="ar-SA"/>
        </w:rPr>
      </w:pPr>
    </w:p>
    <w:p w14:paraId="72BC01B5" w14:textId="77777777" w:rsidR="00EC6722" w:rsidRPr="00EC6722" w:rsidRDefault="00EC6722" w:rsidP="00EC6722">
      <w:pPr>
        <w:rPr>
          <w:rFonts w:eastAsiaTheme="minorEastAsia" w:cs="Arial"/>
          <w:b/>
          <w:bCs/>
          <w:iCs/>
          <w:color w:val="000000" w:themeColor="text1"/>
          <w:kern w:val="0"/>
          <w:sz w:val="20"/>
          <w:szCs w:val="15"/>
          <w:lang w:val="en-GB" w:eastAsia="en-US" w:bidi="ar-SA"/>
        </w:rPr>
      </w:pPr>
      <w:r w:rsidRPr="00EC6722">
        <w:rPr>
          <w:rFonts w:eastAsiaTheme="minorEastAsia" w:cs="Arial"/>
          <w:color w:val="000000" w:themeColor="text1"/>
          <w:kern w:val="20"/>
          <w:sz w:val="20"/>
          <w:szCs w:val="20"/>
          <w:lang w:eastAsia="zh-CN" w:bidi="ar-SA"/>
        </w:rPr>
        <w:br w:type="page"/>
      </w:r>
    </w:p>
    <w:p w14:paraId="319A80B4" w14:textId="77777777" w:rsidR="00EC6722" w:rsidRPr="00EC6722" w:rsidRDefault="00EC6722" w:rsidP="00EC6722">
      <w:pPr>
        <w:spacing w:line="480" w:lineRule="auto"/>
        <w:jc w:val="center"/>
        <w:rPr>
          <w:rFonts w:eastAsiaTheme="minorEastAsia" w:cs="Arial"/>
          <w:b/>
          <w:bCs/>
          <w:iCs/>
          <w:color w:val="000000" w:themeColor="text1"/>
          <w:kern w:val="0"/>
          <w:sz w:val="20"/>
          <w:szCs w:val="15"/>
          <w:lang w:val="en-GB" w:eastAsia="en-US" w:bidi="ar-SA"/>
        </w:rPr>
      </w:pPr>
      <w:r w:rsidRPr="00EC6722">
        <w:rPr>
          <w:rFonts w:eastAsiaTheme="minorEastAsia" w:cs="Arial" w:hint="eastAsia"/>
          <w:b/>
          <w:bCs/>
          <w:iCs/>
          <w:color w:val="000000" w:themeColor="text1"/>
          <w:kern w:val="0"/>
          <w:sz w:val="20"/>
          <w:szCs w:val="15"/>
          <w:lang w:val="en-GB" w:eastAsia="en-US" w:bidi="ar-SA"/>
        </w:rPr>
        <w:lastRenderedPageBreak/>
        <w:t>B</w:t>
      </w:r>
      <w:r w:rsidRPr="00EC6722">
        <w:rPr>
          <w:rFonts w:eastAsiaTheme="minorEastAsia" w:cs="Arial"/>
          <w:b/>
          <w:bCs/>
          <w:iCs/>
          <w:color w:val="000000" w:themeColor="text1"/>
          <w:kern w:val="0"/>
          <w:sz w:val="20"/>
          <w:szCs w:val="15"/>
          <w:lang w:val="en-GB" w:eastAsia="en-US" w:bidi="ar-SA"/>
        </w:rPr>
        <w:t>IBLOGRAPHY</w:t>
      </w:r>
    </w:p>
    <w:p w14:paraId="0F484E4A" w14:textId="77777777" w:rsidR="00EC6722" w:rsidRPr="00EC6722" w:rsidRDefault="00EC6722" w:rsidP="00EC6722">
      <w:pPr>
        <w:spacing w:line="480" w:lineRule="auto"/>
        <w:rPr>
          <w:rFonts w:eastAsiaTheme="minorEastAsia" w:cs="Arial"/>
          <w:b/>
          <w:bCs/>
          <w:color w:val="000000" w:themeColor="text1"/>
          <w:kern w:val="20"/>
          <w:sz w:val="20"/>
          <w:szCs w:val="20"/>
          <w:lang w:val="en-GB" w:eastAsia="en-US" w:bidi="ar-SA"/>
        </w:rPr>
      </w:pPr>
      <w:r w:rsidRPr="00EC6722">
        <w:rPr>
          <w:rFonts w:eastAsiaTheme="minorEastAsia" w:cs="Arial" w:hint="eastAsia"/>
          <w:b/>
          <w:bCs/>
          <w:color w:val="000000" w:themeColor="text1"/>
          <w:kern w:val="20"/>
          <w:sz w:val="20"/>
          <w:szCs w:val="20"/>
          <w:lang w:val="en-GB" w:eastAsia="en-US" w:bidi="ar-SA"/>
        </w:rPr>
        <w:t>T</w:t>
      </w:r>
      <w:r w:rsidRPr="00EC6722">
        <w:rPr>
          <w:rFonts w:eastAsiaTheme="minorEastAsia" w:cs="Arial"/>
          <w:b/>
          <w:bCs/>
          <w:color w:val="000000" w:themeColor="text1"/>
          <w:kern w:val="20"/>
          <w:sz w:val="20"/>
          <w:szCs w:val="20"/>
          <w:lang w:val="en-GB" w:eastAsia="en-US" w:bidi="ar-SA"/>
        </w:rPr>
        <w:t>extbooks</w:t>
      </w:r>
    </w:p>
    <w:p w14:paraId="63F018A4" w14:textId="77777777" w:rsidR="00EC6722" w:rsidRPr="00EC6722" w:rsidRDefault="00EC6722" w:rsidP="00EC6722">
      <w:pPr>
        <w:numPr>
          <w:ilvl w:val="0"/>
          <w:numId w:val="8"/>
        </w:numPr>
        <w:spacing w:line="480" w:lineRule="auto"/>
        <w:rPr>
          <w:rFonts w:eastAsiaTheme="minorEastAsia" w:cs="Arial"/>
          <w:color w:val="000000" w:themeColor="text1"/>
          <w:kern w:val="20"/>
          <w:sz w:val="20"/>
          <w:szCs w:val="21"/>
          <w:lang w:val="en-GB" w:eastAsia="en-US" w:bidi="ar-SA"/>
        </w:rPr>
      </w:pPr>
      <w:r w:rsidRPr="00EC6722">
        <w:rPr>
          <w:rFonts w:eastAsiaTheme="minorEastAsia" w:cs="Arial"/>
          <w:color w:val="000000" w:themeColor="text1"/>
          <w:kern w:val="20"/>
          <w:sz w:val="20"/>
          <w:szCs w:val="21"/>
          <w:lang w:val="en-GB" w:eastAsia="en-US" w:bidi="ar-SA"/>
        </w:rPr>
        <w:t xml:space="preserve">Wild Charles and Weinstein Stuart, </w:t>
      </w:r>
      <w:r w:rsidRPr="00EC6722">
        <w:rPr>
          <w:rFonts w:eastAsiaTheme="minorEastAsia" w:cs="Arial"/>
          <w:i/>
          <w:iCs/>
          <w:color w:val="000000" w:themeColor="text1"/>
          <w:kern w:val="20"/>
          <w:sz w:val="20"/>
          <w:szCs w:val="21"/>
          <w:lang w:val="en-GB" w:eastAsia="en-US" w:bidi="ar-SA"/>
        </w:rPr>
        <w:t>Smith and Keenan’s English law</w:t>
      </w:r>
      <w:r w:rsidRPr="00EC6722">
        <w:rPr>
          <w:rFonts w:eastAsiaTheme="minorEastAsia" w:cs="Arial"/>
          <w:color w:val="000000" w:themeColor="text1"/>
          <w:kern w:val="20"/>
          <w:sz w:val="20"/>
          <w:szCs w:val="21"/>
          <w:lang w:val="en-GB" w:eastAsia="en-US" w:bidi="ar-SA"/>
        </w:rPr>
        <w:t xml:space="preserve"> (first published 1963, Pearson 2013)</w:t>
      </w:r>
    </w:p>
    <w:p w14:paraId="0CEE286B" w14:textId="77777777" w:rsidR="00EC6722" w:rsidRPr="00EC6722" w:rsidRDefault="00EC6722" w:rsidP="00EC6722">
      <w:pPr>
        <w:numPr>
          <w:ilvl w:val="0"/>
          <w:numId w:val="8"/>
        </w:numPr>
        <w:spacing w:line="480" w:lineRule="auto"/>
        <w:rPr>
          <w:rFonts w:eastAsiaTheme="minorEastAsia" w:cs="Arial"/>
          <w:color w:val="000000" w:themeColor="text1"/>
          <w:kern w:val="20"/>
          <w:sz w:val="20"/>
          <w:szCs w:val="21"/>
          <w:lang w:val="en-GB" w:eastAsia="en-US" w:bidi="ar-SA"/>
        </w:rPr>
      </w:pPr>
      <w:r w:rsidRPr="00EC6722">
        <w:rPr>
          <w:rFonts w:eastAsiaTheme="minorEastAsia" w:cs="Arial"/>
          <w:color w:val="000000" w:themeColor="text1"/>
          <w:kern w:val="20"/>
          <w:sz w:val="20"/>
          <w:szCs w:val="21"/>
          <w:lang w:val="en-GB" w:eastAsia="en-US" w:bidi="ar-SA"/>
        </w:rPr>
        <w:t xml:space="preserve">William R. Mackay and Helen E. Charlton, </w:t>
      </w:r>
      <w:r w:rsidRPr="00EC6722">
        <w:rPr>
          <w:rFonts w:eastAsiaTheme="minorEastAsia" w:cs="Arial"/>
          <w:i/>
          <w:iCs/>
          <w:color w:val="000000" w:themeColor="text1"/>
          <w:kern w:val="20"/>
          <w:sz w:val="20"/>
          <w:szCs w:val="21"/>
          <w:lang w:val="en-GB" w:eastAsia="en-US" w:bidi="ar-SA"/>
        </w:rPr>
        <w:t>Legal English-How to Understand and Master the Language of Law</w:t>
      </w:r>
      <w:r w:rsidRPr="00EC6722">
        <w:rPr>
          <w:rFonts w:eastAsiaTheme="minorEastAsia" w:cs="Arial"/>
          <w:color w:val="000000" w:themeColor="text1"/>
          <w:kern w:val="20"/>
          <w:sz w:val="20"/>
          <w:szCs w:val="21"/>
          <w:lang w:val="en-GB" w:eastAsia="en-US" w:bidi="ar-SA"/>
        </w:rPr>
        <w:t xml:space="preserve"> (Printed by Ashford Colour Press Ltd, Gosport 2005)</w:t>
      </w:r>
    </w:p>
    <w:p w14:paraId="2791465F" w14:textId="77777777" w:rsidR="00EC6722" w:rsidRPr="00EC6722" w:rsidRDefault="00EC6722" w:rsidP="00EC6722">
      <w:pPr>
        <w:spacing w:line="480" w:lineRule="auto"/>
        <w:rPr>
          <w:rFonts w:eastAsiaTheme="minorEastAsia" w:cs="Arial"/>
          <w:b/>
          <w:bCs/>
          <w:color w:val="000000" w:themeColor="text1"/>
          <w:kern w:val="20"/>
          <w:sz w:val="20"/>
          <w:szCs w:val="20"/>
          <w:lang w:val="en-GB" w:eastAsia="en-US" w:bidi="ar-SA"/>
        </w:rPr>
      </w:pPr>
      <w:r w:rsidRPr="00EC6722">
        <w:rPr>
          <w:rFonts w:eastAsiaTheme="minorEastAsia" w:cs="Arial"/>
          <w:b/>
          <w:bCs/>
          <w:color w:val="000000" w:themeColor="text1"/>
          <w:kern w:val="20"/>
          <w:sz w:val="20"/>
          <w:szCs w:val="20"/>
          <w:lang w:val="en-GB" w:eastAsia="en-US" w:bidi="ar-SA"/>
        </w:rPr>
        <w:t>Journal articles</w:t>
      </w:r>
    </w:p>
    <w:p w14:paraId="0B457884" w14:textId="77777777" w:rsidR="00EC6722" w:rsidRPr="00EC6722" w:rsidRDefault="00EC6722" w:rsidP="00EC6722">
      <w:pPr>
        <w:numPr>
          <w:ilvl w:val="0"/>
          <w:numId w:val="7"/>
        </w:numPr>
        <w:spacing w:line="480" w:lineRule="auto"/>
        <w:rPr>
          <w:rFonts w:eastAsiaTheme="minorEastAsia" w:cs="Arial"/>
          <w:color w:val="000000" w:themeColor="text1"/>
          <w:kern w:val="20"/>
          <w:sz w:val="20"/>
          <w:szCs w:val="21"/>
          <w:lang w:eastAsia="en-US" w:bidi="ar-SA"/>
        </w:rPr>
      </w:pPr>
      <w:r w:rsidRPr="00EC6722">
        <w:rPr>
          <w:rFonts w:eastAsiaTheme="minorEastAsia" w:cs="Arial"/>
          <w:color w:val="000000" w:themeColor="text1"/>
          <w:kern w:val="20"/>
          <w:sz w:val="20"/>
          <w:szCs w:val="21"/>
          <w:lang w:eastAsia="en-US" w:bidi="ar-SA"/>
        </w:rPr>
        <w:t xml:space="preserve">Baldwin John and Michael McConville, </w:t>
      </w:r>
      <w:r w:rsidRPr="00EC6722">
        <w:rPr>
          <w:rFonts w:eastAsiaTheme="minorEastAsia" w:cs="Arial"/>
          <w:i/>
          <w:iCs/>
          <w:color w:val="000000" w:themeColor="text1"/>
          <w:kern w:val="20"/>
          <w:sz w:val="20"/>
          <w:szCs w:val="21"/>
          <w:lang w:eastAsia="en-US" w:bidi="ar-SA"/>
        </w:rPr>
        <w:t>Jury trials</w:t>
      </w:r>
      <w:r w:rsidRPr="00EC6722">
        <w:rPr>
          <w:rFonts w:eastAsiaTheme="minorEastAsia" w:cs="Arial"/>
          <w:color w:val="000000" w:themeColor="text1"/>
          <w:kern w:val="20"/>
          <w:sz w:val="20"/>
          <w:szCs w:val="21"/>
          <w:lang w:eastAsia="en-US" w:bidi="ar-SA"/>
        </w:rPr>
        <w:t xml:space="preserve"> (clarendon press OXFORD press 1979)</w:t>
      </w:r>
    </w:p>
    <w:p w14:paraId="032D16CE" w14:textId="77777777" w:rsidR="00EC6722" w:rsidRPr="00EC6722" w:rsidRDefault="00EC6722" w:rsidP="00EC6722">
      <w:pPr>
        <w:numPr>
          <w:ilvl w:val="0"/>
          <w:numId w:val="7"/>
        </w:numPr>
        <w:spacing w:line="480" w:lineRule="auto"/>
        <w:rPr>
          <w:rFonts w:eastAsiaTheme="minorEastAsia" w:cs="Arial"/>
          <w:iCs/>
          <w:color w:val="000000" w:themeColor="text1"/>
          <w:kern w:val="20"/>
          <w:sz w:val="20"/>
          <w:szCs w:val="21"/>
          <w:lang w:eastAsia="en-US" w:bidi="ar-SA"/>
        </w:rPr>
      </w:pPr>
      <w:r w:rsidRPr="00EC6722">
        <w:rPr>
          <w:rFonts w:eastAsiaTheme="minorEastAsia" w:cs="Arial"/>
          <w:i/>
          <w:color w:val="000000" w:themeColor="text1"/>
          <w:kern w:val="20"/>
          <w:sz w:val="20"/>
          <w:szCs w:val="21"/>
          <w:lang w:eastAsia="zh-CN" w:bidi="ar-SA"/>
        </w:rPr>
        <w:t xml:space="preserve">Davis v Johnson </w:t>
      </w:r>
      <w:r w:rsidRPr="00EC6722">
        <w:rPr>
          <w:rFonts w:eastAsiaTheme="minorEastAsia" w:cs="Arial"/>
          <w:iCs/>
          <w:color w:val="000000" w:themeColor="text1"/>
          <w:kern w:val="20"/>
          <w:sz w:val="20"/>
          <w:szCs w:val="21"/>
          <w:lang w:eastAsia="zh-CN" w:bidi="ar-SA"/>
        </w:rPr>
        <w:t>(1977)</w:t>
      </w:r>
    </w:p>
    <w:p w14:paraId="73D08ECF" w14:textId="77777777" w:rsidR="00EC6722" w:rsidRPr="00EC6722" w:rsidRDefault="00EC6722" w:rsidP="00EC6722">
      <w:pPr>
        <w:numPr>
          <w:ilvl w:val="0"/>
          <w:numId w:val="7"/>
        </w:numPr>
        <w:spacing w:line="480" w:lineRule="auto"/>
        <w:rPr>
          <w:rFonts w:eastAsiaTheme="minorEastAsia" w:cs="Arial"/>
          <w:color w:val="000000" w:themeColor="text1"/>
          <w:kern w:val="20"/>
          <w:sz w:val="20"/>
          <w:szCs w:val="21"/>
          <w:lang w:eastAsia="en-US" w:bidi="ar-SA"/>
        </w:rPr>
      </w:pPr>
      <w:r w:rsidRPr="00EC6722">
        <w:rPr>
          <w:rFonts w:eastAsiaTheme="minorEastAsia" w:cs="Arial"/>
          <w:color w:val="000000" w:themeColor="text1"/>
          <w:kern w:val="20"/>
          <w:sz w:val="20"/>
          <w:szCs w:val="21"/>
          <w:lang w:eastAsia="zh-CN" w:bidi="ar-SA"/>
        </w:rPr>
        <w:t xml:space="preserve">Guinther John, </w:t>
      </w:r>
      <w:r w:rsidRPr="00EC6722">
        <w:rPr>
          <w:rFonts w:eastAsiaTheme="minorEastAsia" w:cs="Arial"/>
          <w:i/>
          <w:iCs/>
          <w:color w:val="000000" w:themeColor="text1"/>
          <w:kern w:val="20"/>
          <w:sz w:val="20"/>
          <w:szCs w:val="21"/>
          <w:lang w:eastAsia="zh-CN" w:bidi="ar-SA"/>
        </w:rPr>
        <w:t>The Jury in America</w:t>
      </w:r>
      <w:r w:rsidRPr="00EC6722">
        <w:rPr>
          <w:rFonts w:eastAsiaTheme="minorEastAsia" w:cs="Arial"/>
          <w:color w:val="000000" w:themeColor="text1"/>
          <w:kern w:val="20"/>
          <w:sz w:val="20"/>
          <w:szCs w:val="21"/>
          <w:lang w:eastAsia="zh-CN" w:bidi="ar-SA"/>
        </w:rPr>
        <w:t xml:space="preserve"> (1988)</w:t>
      </w:r>
    </w:p>
    <w:p w14:paraId="2303A153" w14:textId="77777777" w:rsidR="00EC6722" w:rsidRPr="00EC6722" w:rsidRDefault="00EC6722" w:rsidP="00EC6722">
      <w:pPr>
        <w:numPr>
          <w:ilvl w:val="0"/>
          <w:numId w:val="7"/>
        </w:numPr>
        <w:spacing w:line="480" w:lineRule="auto"/>
        <w:rPr>
          <w:rFonts w:eastAsiaTheme="minorEastAsia" w:cs="Arial"/>
          <w:color w:val="000000" w:themeColor="text1"/>
          <w:kern w:val="20"/>
          <w:sz w:val="20"/>
          <w:szCs w:val="21"/>
          <w:lang w:eastAsia="en-US" w:bidi="ar-SA"/>
        </w:rPr>
      </w:pPr>
      <w:r w:rsidRPr="00EC6722">
        <w:rPr>
          <w:rFonts w:eastAsiaTheme="minorEastAsia" w:cs="Arial"/>
          <w:color w:val="000000" w:themeColor="text1"/>
          <w:kern w:val="20"/>
          <w:sz w:val="20"/>
          <w:szCs w:val="21"/>
          <w:lang w:eastAsia="zh-CN" w:bidi="ar-SA"/>
        </w:rPr>
        <w:t xml:space="preserve">Hamlin Sonya, </w:t>
      </w:r>
      <w:proofErr w:type="gramStart"/>
      <w:r w:rsidRPr="00EC6722">
        <w:rPr>
          <w:rFonts w:eastAsiaTheme="minorEastAsia" w:cs="Arial"/>
          <w:i/>
          <w:iCs/>
          <w:color w:val="000000" w:themeColor="text1"/>
          <w:kern w:val="20"/>
          <w:sz w:val="20"/>
          <w:szCs w:val="21"/>
          <w:lang w:eastAsia="zh-CN" w:bidi="ar-SA"/>
        </w:rPr>
        <w:t>What</w:t>
      </w:r>
      <w:proofErr w:type="gramEnd"/>
      <w:r w:rsidRPr="00EC6722">
        <w:rPr>
          <w:rFonts w:eastAsiaTheme="minorEastAsia" w:cs="Arial"/>
          <w:i/>
          <w:iCs/>
          <w:color w:val="000000" w:themeColor="text1"/>
          <w:kern w:val="20"/>
          <w:sz w:val="20"/>
          <w:szCs w:val="21"/>
          <w:lang w:eastAsia="zh-CN" w:bidi="ar-SA"/>
        </w:rPr>
        <w:t xml:space="preserve"> makes juries listen</w:t>
      </w:r>
    </w:p>
    <w:p w14:paraId="5D50BCF3" w14:textId="77777777" w:rsidR="00EC6722" w:rsidRPr="00EC6722" w:rsidRDefault="00EC6722" w:rsidP="00EC6722">
      <w:pPr>
        <w:numPr>
          <w:ilvl w:val="0"/>
          <w:numId w:val="7"/>
        </w:numPr>
        <w:spacing w:line="480" w:lineRule="auto"/>
        <w:rPr>
          <w:rFonts w:eastAsiaTheme="minorEastAsia" w:cs="Arial"/>
          <w:b/>
          <w:bCs/>
          <w:color w:val="000000" w:themeColor="text1"/>
          <w:kern w:val="20"/>
          <w:sz w:val="20"/>
          <w:szCs w:val="21"/>
          <w:lang w:eastAsia="en-US" w:bidi="ar-SA"/>
        </w:rPr>
      </w:pPr>
      <w:r w:rsidRPr="00EC6722">
        <w:rPr>
          <w:rFonts w:eastAsiaTheme="minorEastAsia" w:cs="Arial"/>
          <w:color w:val="000000" w:themeColor="text1"/>
          <w:kern w:val="20"/>
          <w:sz w:val="20"/>
          <w:szCs w:val="21"/>
          <w:lang w:eastAsia="en-US" w:bidi="ar-SA"/>
        </w:rPr>
        <w:t xml:space="preserve">Francls </w:t>
      </w:r>
      <w:r w:rsidRPr="00EC6722">
        <w:rPr>
          <w:rFonts w:eastAsiaTheme="minorEastAsia" w:cs="Arial" w:hint="eastAsia"/>
          <w:color w:val="000000" w:themeColor="text1"/>
          <w:kern w:val="20"/>
          <w:sz w:val="20"/>
          <w:szCs w:val="21"/>
          <w:lang w:eastAsia="en-US" w:bidi="ar-SA"/>
        </w:rPr>
        <w:t>P</w:t>
      </w:r>
      <w:r w:rsidRPr="00EC6722">
        <w:rPr>
          <w:rFonts w:eastAsiaTheme="minorEastAsia" w:cs="Arial"/>
          <w:color w:val="000000" w:themeColor="text1"/>
          <w:kern w:val="20"/>
          <w:sz w:val="20"/>
          <w:szCs w:val="21"/>
          <w:lang w:eastAsia="en-US" w:bidi="ar-SA"/>
        </w:rPr>
        <w:t xml:space="preserve">hillp, </w:t>
      </w:r>
      <w:proofErr w:type="gramStart"/>
      <w:r w:rsidRPr="00EC6722">
        <w:rPr>
          <w:rFonts w:eastAsiaTheme="minorEastAsia" w:cs="Arial"/>
          <w:i/>
          <w:iCs/>
          <w:color w:val="000000" w:themeColor="text1"/>
          <w:kern w:val="20"/>
          <w:sz w:val="20"/>
          <w:szCs w:val="21"/>
          <w:lang w:eastAsia="en-US" w:bidi="ar-SA"/>
        </w:rPr>
        <w:t>How</w:t>
      </w:r>
      <w:proofErr w:type="gramEnd"/>
      <w:r w:rsidRPr="00EC6722">
        <w:rPr>
          <w:rFonts w:eastAsiaTheme="minorEastAsia" w:cs="Arial"/>
          <w:i/>
          <w:iCs/>
          <w:color w:val="000000" w:themeColor="text1"/>
          <w:kern w:val="20"/>
          <w:sz w:val="20"/>
          <w:szCs w:val="21"/>
          <w:lang w:eastAsia="en-US" w:bidi="ar-SA"/>
        </w:rPr>
        <w:t xml:space="preserve"> to serve on a jury </w:t>
      </w:r>
      <w:r w:rsidRPr="00EC6722">
        <w:rPr>
          <w:rFonts w:eastAsiaTheme="minorEastAsia" w:cs="Arial"/>
          <w:color w:val="000000" w:themeColor="text1"/>
          <w:kern w:val="20"/>
          <w:sz w:val="20"/>
          <w:szCs w:val="21"/>
          <w:lang w:eastAsia="en-US" w:bidi="ar-SA"/>
        </w:rPr>
        <w:t xml:space="preserve">(Legal almanac series; no.31,2th, </w:t>
      </w:r>
      <w:r w:rsidRPr="00EC6722">
        <w:rPr>
          <w:rFonts w:eastAsiaTheme="minorEastAsia" w:cs="Arial"/>
          <w:color w:val="000000" w:themeColor="text1"/>
          <w:kern w:val="20"/>
          <w:sz w:val="20"/>
          <w:szCs w:val="21"/>
          <w:lang w:eastAsia="zh-CN" w:bidi="ar-SA"/>
        </w:rPr>
        <w:t>Oceana Publications, Inc</w:t>
      </w:r>
      <w:r w:rsidRPr="00EC6722">
        <w:rPr>
          <w:rFonts w:eastAsiaTheme="minorEastAsia" w:cs="Arial"/>
          <w:color w:val="000000" w:themeColor="text1"/>
          <w:kern w:val="20"/>
          <w:sz w:val="20"/>
          <w:szCs w:val="21"/>
          <w:lang w:eastAsia="en-US" w:bidi="ar-SA"/>
        </w:rPr>
        <w:t>1979)</w:t>
      </w:r>
    </w:p>
    <w:p w14:paraId="7D6DA146" w14:textId="77777777" w:rsidR="00EC6722" w:rsidRPr="00EC6722" w:rsidRDefault="00EC6722" w:rsidP="00EC6722">
      <w:pPr>
        <w:spacing w:line="480" w:lineRule="auto"/>
        <w:rPr>
          <w:rFonts w:eastAsiaTheme="minorEastAsia" w:cs="Arial"/>
          <w:b/>
          <w:bCs/>
          <w:color w:val="000000" w:themeColor="text1"/>
          <w:kern w:val="20"/>
          <w:sz w:val="20"/>
          <w:szCs w:val="20"/>
          <w:lang w:val="en-GB" w:eastAsia="en-US" w:bidi="ar-SA"/>
        </w:rPr>
      </w:pPr>
      <w:r w:rsidRPr="00EC6722">
        <w:rPr>
          <w:rFonts w:eastAsiaTheme="minorEastAsia" w:cs="Arial"/>
          <w:b/>
          <w:bCs/>
          <w:color w:val="000000" w:themeColor="text1"/>
          <w:kern w:val="20"/>
          <w:sz w:val="20"/>
          <w:szCs w:val="20"/>
          <w:lang w:val="en-GB" w:eastAsia="en-US" w:bidi="ar-SA"/>
        </w:rPr>
        <w:t>Case</w:t>
      </w:r>
    </w:p>
    <w:p w14:paraId="71D0E2F4" w14:textId="77777777" w:rsidR="00EC6722" w:rsidRPr="00EC6722" w:rsidRDefault="00EC6722" w:rsidP="00EC6722">
      <w:pPr>
        <w:numPr>
          <w:ilvl w:val="0"/>
          <w:numId w:val="9"/>
        </w:numPr>
        <w:spacing w:line="480" w:lineRule="auto"/>
        <w:rPr>
          <w:rFonts w:eastAsiaTheme="minorEastAsia" w:cs="Arial"/>
          <w:color w:val="000000" w:themeColor="text1"/>
          <w:kern w:val="20"/>
          <w:sz w:val="20"/>
          <w:szCs w:val="21"/>
          <w:cs/>
          <w:lang w:eastAsia="zh-CN" w:bidi="ar-SA"/>
        </w:rPr>
      </w:pPr>
      <w:r w:rsidRPr="00EC6722">
        <w:rPr>
          <w:rFonts w:eastAsiaTheme="minorEastAsia" w:cs="Arial" w:hint="eastAsia"/>
          <w:color w:val="000000" w:themeColor="text1"/>
          <w:kern w:val="20"/>
          <w:sz w:val="20"/>
          <w:szCs w:val="21"/>
          <w:lang w:eastAsia="zh-CN" w:bidi="ar-SA"/>
        </w:rPr>
        <w:t>J</w:t>
      </w:r>
      <w:r w:rsidRPr="00EC6722">
        <w:rPr>
          <w:rFonts w:eastAsiaTheme="minorEastAsia" w:cs="Arial"/>
          <w:color w:val="000000" w:themeColor="text1"/>
          <w:kern w:val="20"/>
          <w:sz w:val="20"/>
          <w:szCs w:val="21"/>
          <w:lang w:eastAsia="zh-CN" w:bidi="ar-SA"/>
        </w:rPr>
        <w:t>ohn v MGN Ltd [1996] 2 All ER 35 (CA)</w:t>
      </w:r>
    </w:p>
    <w:p w14:paraId="759F9376" w14:textId="77777777" w:rsidR="00EC6722" w:rsidRPr="00EC6722" w:rsidRDefault="00EC6722" w:rsidP="00EC6722">
      <w:pPr>
        <w:numPr>
          <w:ilvl w:val="0"/>
          <w:numId w:val="9"/>
        </w:numPr>
        <w:spacing w:line="480" w:lineRule="auto"/>
        <w:rPr>
          <w:rFonts w:eastAsiaTheme="minorEastAsia" w:cs="Arial"/>
          <w:color w:val="000000" w:themeColor="text1"/>
          <w:kern w:val="20"/>
          <w:sz w:val="20"/>
          <w:szCs w:val="21"/>
          <w:lang w:eastAsia="zh-CN" w:bidi="ar-SA"/>
        </w:rPr>
      </w:pPr>
      <w:r w:rsidRPr="00EC6722">
        <w:rPr>
          <w:rFonts w:eastAsiaTheme="minorEastAsia" w:cs="Arial" w:hint="eastAsia"/>
          <w:color w:val="000000" w:themeColor="text1"/>
          <w:kern w:val="20"/>
          <w:sz w:val="20"/>
          <w:szCs w:val="21"/>
          <w:lang w:eastAsia="zh-CN" w:bidi="ar-SA"/>
        </w:rPr>
        <w:t>R</w:t>
      </w:r>
      <w:r w:rsidRPr="00EC6722">
        <w:rPr>
          <w:rFonts w:eastAsiaTheme="minorEastAsia" w:cs="Arial"/>
          <w:color w:val="000000" w:themeColor="text1"/>
          <w:kern w:val="20"/>
          <w:sz w:val="20"/>
          <w:szCs w:val="21"/>
          <w:lang w:eastAsia="zh-CN" w:bidi="ar-SA"/>
        </w:rPr>
        <w:t xml:space="preserve">antzen v Mirror Group Newspapers [1993]3 WLR 953 CA </w:t>
      </w:r>
    </w:p>
    <w:p w14:paraId="05E91A92" w14:textId="77777777" w:rsidR="00EC6722" w:rsidRPr="00EC6722" w:rsidRDefault="00EC6722" w:rsidP="00EC6722">
      <w:pPr>
        <w:numPr>
          <w:ilvl w:val="0"/>
          <w:numId w:val="9"/>
        </w:numPr>
        <w:spacing w:line="480" w:lineRule="auto"/>
        <w:rPr>
          <w:rFonts w:eastAsiaTheme="minorEastAsia" w:cs="Arial"/>
          <w:color w:val="000000" w:themeColor="text1"/>
          <w:kern w:val="20"/>
          <w:sz w:val="20"/>
          <w:szCs w:val="21"/>
          <w:lang w:eastAsia="zh-CN" w:bidi="ar-SA"/>
        </w:rPr>
      </w:pPr>
      <w:r w:rsidRPr="00EC6722">
        <w:rPr>
          <w:rFonts w:eastAsiaTheme="minorEastAsia" w:cs="Arial" w:hint="eastAsia"/>
          <w:color w:val="000000" w:themeColor="text1"/>
          <w:kern w:val="20"/>
          <w:sz w:val="20"/>
          <w:szCs w:val="21"/>
          <w:lang w:eastAsia="zh-CN" w:bidi="ar-SA"/>
        </w:rPr>
        <w:t>R</w:t>
      </w:r>
      <w:r w:rsidRPr="00EC6722">
        <w:rPr>
          <w:rFonts w:eastAsiaTheme="minorEastAsia" w:cs="Arial"/>
          <w:color w:val="000000" w:themeColor="text1"/>
          <w:kern w:val="20"/>
          <w:sz w:val="20"/>
          <w:szCs w:val="21"/>
          <w:lang w:eastAsia="zh-CN" w:bidi="ar-SA"/>
        </w:rPr>
        <w:t xml:space="preserve"> v Thompson [1962] 1 All Er 65 Court of Appeal</w:t>
      </w:r>
    </w:p>
    <w:p w14:paraId="5AACFA86" w14:textId="77777777" w:rsidR="00EC6722" w:rsidRPr="00EC6722" w:rsidRDefault="00EC6722" w:rsidP="00EC6722">
      <w:pPr>
        <w:numPr>
          <w:ilvl w:val="0"/>
          <w:numId w:val="9"/>
        </w:numPr>
        <w:spacing w:line="480" w:lineRule="auto"/>
        <w:rPr>
          <w:rFonts w:eastAsiaTheme="minorEastAsia" w:cs="Arial"/>
          <w:color w:val="000000" w:themeColor="text1"/>
          <w:kern w:val="20"/>
          <w:sz w:val="20"/>
          <w:szCs w:val="21"/>
          <w:lang w:eastAsia="zh-CN" w:bidi="ar-SA"/>
        </w:rPr>
      </w:pPr>
      <w:r w:rsidRPr="00EC6722">
        <w:rPr>
          <w:rFonts w:eastAsiaTheme="minorEastAsia" w:cs="Arial" w:hint="eastAsia"/>
          <w:color w:val="000000" w:themeColor="text1"/>
          <w:kern w:val="20"/>
          <w:sz w:val="20"/>
          <w:szCs w:val="21"/>
          <w:lang w:eastAsia="zh-CN" w:bidi="ar-SA"/>
        </w:rPr>
        <w:t>W</w:t>
      </w:r>
      <w:r w:rsidRPr="00EC6722">
        <w:rPr>
          <w:rFonts w:eastAsiaTheme="minorEastAsia" w:cs="Arial"/>
          <w:color w:val="000000" w:themeColor="text1"/>
          <w:kern w:val="20"/>
          <w:sz w:val="20"/>
          <w:szCs w:val="21"/>
          <w:lang w:eastAsia="zh-CN" w:bidi="ar-SA"/>
        </w:rPr>
        <w:t>ard v James [1966] 1 QB 273 CA</w:t>
      </w:r>
    </w:p>
    <w:p w14:paraId="3913DC51" w14:textId="77777777" w:rsidR="00EC6722" w:rsidRPr="00EC6722" w:rsidRDefault="00EC6722" w:rsidP="00EC6722">
      <w:pPr>
        <w:numPr>
          <w:ilvl w:val="0"/>
          <w:numId w:val="9"/>
        </w:numPr>
        <w:spacing w:line="480" w:lineRule="auto"/>
        <w:rPr>
          <w:rFonts w:eastAsiaTheme="minorEastAsia" w:cs="Arial"/>
          <w:color w:val="000000" w:themeColor="text1"/>
          <w:kern w:val="20"/>
          <w:sz w:val="20"/>
          <w:szCs w:val="21"/>
          <w:lang w:eastAsia="zh-CN" w:bidi="ar-SA"/>
        </w:rPr>
      </w:pPr>
      <w:r w:rsidRPr="00EC6722">
        <w:rPr>
          <w:rFonts w:eastAsiaTheme="minorEastAsia" w:cs="Arial" w:hint="eastAsia"/>
          <w:color w:val="000000" w:themeColor="text1"/>
          <w:kern w:val="20"/>
          <w:sz w:val="20"/>
          <w:szCs w:val="21"/>
          <w:lang w:eastAsia="zh-CN" w:bidi="ar-SA"/>
        </w:rPr>
        <w:t>R</w:t>
      </w:r>
      <w:r w:rsidRPr="00EC6722">
        <w:rPr>
          <w:rFonts w:eastAsiaTheme="minorEastAsia" w:cs="Arial"/>
          <w:color w:val="000000" w:themeColor="text1"/>
          <w:kern w:val="20"/>
          <w:sz w:val="20"/>
          <w:szCs w:val="21"/>
          <w:lang w:eastAsia="zh-CN" w:bidi="ar-SA"/>
        </w:rPr>
        <w:t>idge v Baldwin [1963] 2 All ER 66</w:t>
      </w:r>
    </w:p>
    <w:p w14:paraId="49F7F002" w14:textId="77777777" w:rsidR="00F253CE" w:rsidRPr="00F02250" w:rsidRDefault="00EC6722" w:rsidP="00F253CE">
      <w:pPr>
        <w:numPr>
          <w:ilvl w:val="0"/>
          <w:numId w:val="9"/>
        </w:numPr>
        <w:spacing w:line="480" w:lineRule="auto"/>
        <w:rPr>
          <w:rFonts w:eastAsiaTheme="minorEastAsia" w:cs="Arial"/>
          <w:color w:val="000000" w:themeColor="text1"/>
          <w:kern w:val="20"/>
          <w:sz w:val="20"/>
          <w:szCs w:val="21"/>
          <w:cs/>
          <w:lang w:eastAsia="zh-CN" w:bidi="ar-SA"/>
        </w:rPr>
      </w:pPr>
      <w:r w:rsidRPr="00EC6722">
        <w:rPr>
          <w:rFonts w:eastAsiaTheme="minorEastAsia" w:cs="Arial" w:hint="eastAsia"/>
          <w:color w:val="000000" w:themeColor="text1"/>
          <w:kern w:val="20"/>
          <w:sz w:val="20"/>
          <w:szCs w:val="21"/>
          <w:lang w:eastAsia="zh-CN" w:bidi="ar-SA"/>
        </w:rPr>
        <w:t>R</w:t>
      </w:r>
      <w:r w:rsidRPr="00EC6722">
        <w:rPr>
          <w:rFonts w:eastAsiaTheme="minorEastAsia" w:cs="Arial"/>
          <w:color w:val="000000" w:themeColor="text1"/>
          <w:kern w:val="20"/>
          <w:sz w:val="20"/>
          <w:szCs w:val="21"/>
          <w:lang w:eastAsia="zh-CN" w:bidi="ar-SA"/>
        </w:rPr>
        <w:t xml:space="preserve"> v Secretary of State for Home Department, ex parte Hosenball [1977] 3 All ER 452</w:t>
      </w:r>
    </w:p>
    <w:sectPr w:rsidR="00F253CE" w:rsidRPr="00F02250" w:rsidSect="0078312A">
      <w:headerReference w:type="even" r:id="rId11"/>
      <w:footerReference w:type="default" r:id="rId12"/>
      <w:headerReference w:type="first" r:id="rId13"/>
      <w:pgSz w:w="12240" w:h="15840"/>
      <w:pgMar w:top="1710" w:right="1134" w:bottom="1138" w:left="1134" w:header="1134" w:footer="720" w:gutter="0"/>
      <w:pgNumType w:start="1"/>
      <w:cols w:space="720"/>
      <w:docGrid w:linePitch="600" w:charSpace="3276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Alex Simmonds" w:date="2019-12-05T12:46:00Z" w:initials="AS">
    <w:p w14:paraId="2CF130FB" w14:textId="12A6B9D5" w:rsidR="00F932DE" w:rsidRDefault="00F932DE">
      <w:pPr>
        <w:pStyle w:val="CommentText"/>
      </w:pPr>
      <w:r>
        <w:rPr>
          <w:rStyle w:val="CommentReference"/>
        </w:rPr>
        <w:annotationRef/>
      </w:r>
      <w:r>
        <w:t xml:space="preserve">This is a fair account of the system of precedent. It would have been better if you had explained how your essay will approach the problem in more detail. </w:t>
      </w:r>
    </w:p>
  </w:comment>
  <w:comment w:id="2" w:author="Alex Simmonds" w:date="2019-12-05T12:49:00Z" w:initials="AS">
    <w:p w14:paraId="3AD98CC2" w14:textId="08E00B33" w:rsidR="00F932DE" w:rsidRDefault="00F932DE">
      <w:pPr>
        <w:pStyle w:val="CommentText"/>
      </w:pPr>
      <w:r>
        <w:rPr>
          <w:rStyle w:val="CommentReference"/>
        </w:rPr>
        <w:annotationRef/>
      </w:r>
      <w:r>
        <w:t xml:space="preserve">This is highly irrelevant to the question. </w:t>
      </w:r>
    </w:p>
  </w:comment>
  <w:comment w:id="3" w:author="Alex Simmonds" w:date="2019-12-05T12:49:00Z" w:initials="AS">
    <w:p w14:paraId="611935FB" w14:textId="74E5EADA" w:rsidR="00F932DE" w:rsidRDefault="00F932DE">
      <w:pPr>
        <w:pStyle w:val="CommentText"/>
      </w:pPr>
      <w:r>
        <w:rPr>
          <w:rStyle w:val="CommentReference"/>
        </w:rPr>
        <w:annotationRef/>
      </w:r>
      <w:r>
        <w:t>Is this a quotation from a source?</w:t>
      </w:r>
    </w:p>
  </w:comment>
  <w:comment w:id="4" w:author="Alex Simmonds" w:date="2019-12-05T12:50:00Z" w:initials="AS">
    <w:p w14:paraId="336FA169" w14:textId="14348A60" w:rsidR="00F932DE" w:rsidRDefault="00F932DE">
      <w:pPr>
        <w:pStyle w:val="CommentText"/>
      </w:pPr>
      <w:r>
        <w:rPr>
          <w:rStyle w:val="CommentReference"/>
        </w:rPr>
        <w:annotationRef/>
      </w:r>
      <w:r>
        <w:t>This is also highly irrelevant information.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CF130FB" w15:done="0"/>
  <w15:commentEx w15:paraId="3AD98CC2" w15:done="0"/>
  <w15:commentEx w15:paraId="611935FB" w15:done="0"/>
  <w15:commentEx w15:paraId="336FA16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CF130FB" w16cid:durableId="21937AA6"/>
  <w16cid:commentId w16cid:paraId="3AD98CC2" w16cid:durableId="21937B43"/>
  <w16cid:commentId w16cid:paraId="611935FB" w16cid:durableId="21937B66"/>
  <w16cid:commentId w16cid:paraId="336FA169" w16cid:durableId="21937B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DD613F" w14:textId="77777777" w:rsidR="00432C94" w:rsidRDefault="00432C94">
      <w:r>
        <w:separator/>
      </w:r>
    </w:p>
  </w:endnote>
  <w:endnote w:type="continuationSeparator" w:id="0">
    <w:p w14:paraId="10A8B0DD" w14:textId="77777777" w:rsidR="00432C94" w:rsidRDefault="00432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1"/>
    <w:family w:val="roman"/>
    <w:pitch w:val="variable"/>
    <w:sig w:usb0="0000A003" w:usb1="00000000" w:usb2="00000000" w:usb3="00000000" w:csb0="00000001" w:csb1="00000000"/>
  </w:font>
  <w:font w:name="Microsoft YaHei">
    <w:panose1 w:val="020B0503020204020204"/>
    <w:charset w:val="86"/>
    <w:family w:val="swiss"/>
    <w:pitch w:val="variable"/>
    <w:sig w:usb0="80000287" w:usb1="28CF3C52" w:usb2="00000016" w:usb3="00000000" w:csb0="0004001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altName w:val="Arial"/>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A00002EF" w:usb1="4000207B" w:usb2="00000000" w:usb3="00000000" w:csb0="0000009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FDFC3" w14:textId="77777777" w:rsidR="0078312A" w:rsidRDefault="0078312A">
    <w:pPr>
      <w:pStyle w:val="Footer"/>
      <w:jc w:val="center"/>
      <w:rPr>
        <w:color w:val="4472C4" w:themeColor="accent1"/>
      </w:rPr>
    </w:pPr>
    <w:r>
      <w:rPr>
        <w:color w:val="4472C4" w:themeColor="accent1"/>
        <w:lang w:val="zh-CN"/>
      </w:rPr>
      <w:t xml:space="preserve"> </w:t>
    </w:r>
    <w:r>
      <w:rPr>
        <w:color w:val="4472C4" w:themeColor="accent1"/>
      </w:rPr>
      <w:fldChar w:fldCharType="begin"/>
    </w:r>
    <w:r>
      <w:rPr>
        <w:color w:val="4472C4" w:themeColor="accent1"/>
      </w:rPr>
      <w:instrText>PAGE  \* Arabic  \* MERGEFORMAT</w:instrText>
    </w:r>
    <w:r>
      <w:rPr>
        <w:color w:val="4472C4" w:themeColor="accent1"/>
      </w:rPr>
      <w:fldChar w:fldCharType="separate"/>
    </w:r>
    <w:r>
      <w:rPr>
        <w:color w:val="4472C4" w:themeColor="accent1"/>
        <w:lang w:val="zh-CN"/>
      </w:rPr>
      <w:t>2</w:t>
    </w:r>
    <w:r>
      <w:rPr>
        <w:color w:val="4472C4" w:themeColor="accent1"/>
      </w:rPr>
      <w:fldChar w:fldCharType="end"/>
    </w:r>
    <w:r>
      <w:rPr>
        <w:color w:val="4472C4" w:themeColor="accent1"/>
        <w:lang w:val="zh-CN"/>
      </w:rPr>
      <w:t xml:space="preserve"> / </w:t>
    </w:r>
    <w:r>
      <w:rPr>
        <w:color w:val="4472C4" w:themeColor="accent1"/>
      </w:rPr>
      <w:fldChar w:fldCharType="begin"/>
    </w:r>
    <w:r>
      <w:rPr>
        <w:color w:val="4472C4" w:themeColor="accent1"/>
      </w:rPr>
      <w:instrText>NUMPAGES  \* Arabic  \* MERGEFORMAT</w:instrText>
    </w:r>
    <w:r>
      <w:rPr>
        <w:color w:val="4472C4" w:themeColor="accent1"/>
      </w:rPr>
      <w:fldChar w:fldCharType="separate"/>
    </w:r>
    <w:r>
      <w:rPr>
        <w:color w:val="4472C4" w:themeColor="accent1"/>
        <w:lang w:val="zh-CN"/>
      </w:rPr>
      <w:t>2</w:t>
    </w:r>
    <w:r>
      <w:rPr>
        <w:color w:val="4472C4" w:themeColor="accent1"/>
      </w:rPr>
      <w:fldChar w:fldCharType="end"/>
    </w:r>
  </w:p>
  <w:p w14:paraId="1E4802F3" w14:textId="77777777" w:rsidR="00B33BDD" w:rsidRPr="0042775C" w:rsidRDefault="00B33BDD" w:rsidP="00C52947">
    <w:pPr>
      <w:jc w:val="right"/>
      <w:rPr>
        <w:rFonts w:ascii="Calibri" w:hAnsi="Calibri" w:cs="Calibr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489BED" w14:textId="77777777" w:rsidR="00432C94" w:rsidRDefault="00432C94">
      <w:r>
        <w:separator/>
      </w:r>
    </w:p>
  </w:footnote>
  <w:footnote w:type="continuationSeparator" w:id="0">
    <w:p w14:paraId="74B5AEAB" w14:textId="77777777" w:rsidR="00432C94" w:rsidRDefault="00432C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10D24" w14:textId="77777777" w:rsidR="000F615B" w:rsidRDefault="000F61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D9FD3" w14:textId="77777777" w:rsidR="000F615B" w:rsidRDefault="000F61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75pt" o:bullet="t" filled="t">
        <v:fill color2="black"/>
        <v:imagedata r:id="rId1" o:title=""/>
      </v:shape>
    </w:pict>
  </w:numPicBullet>
  <w:abstractNum w:abstractNumId="0" w15:restartNumberingAfterBreak="0">
    <w:nsid w:val="FFFFFF1D"/>
    <w:multiLevelType w:val="multilevel"/>
    <w:tmpl w:val="33A8163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93D5C"/>
    <w:multiLevelType w:val="hybridMultilevel"/>
    <w:tmpl w:val="173E25C6"/>
    <w:lvl w:ilvl="0" w:tplc="A3CC424A">
      <w:start w:val="1"/>
      <w:numFmt w:val="decimal"/>
      <w:lvlText w:val="%1."/>
      <w:lvlJc w:val="left"/>
      <w:pPr>
        <w:ind w:left="360" w:hanging="36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3771B4"/>
    <w:multiLevelType w:val="hybridMultilevel"/>
    <w:tmpl w:val="CF7417BA"/>
    <w:lvl w:ilvl="0" w:tplc="246217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CC75206"/>
    <w:multiLevelType w:val="hybridMultilevel"/>
    <w:tmpl w:val="FCE0BAB2"/>
    <w:lvl w:ilvl="0" w:tplc="F522C4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ECE5E32"/>
    <w:multiLevelType w:val="multilevel"/>
    <w:tmpl w:val="DBEC76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595C75"/>
    <w:multiLevelType w:val="hybridMultilevel"/>
    <w:tmpl w:val="9522E2E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15:restartNumberingAfterBreak="0">
    <w:nsid w:val="3C467DB8"/>
    <w:multiLevelType w:val="hybridMultilevel"/>
    <w:tmpl w:val="7F9632E0"/>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432C49"/>
    <w:multiLevelType w:val="hybridMultilevel"/>
    <w:tmpl w:val="2B60510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99138B7"/>
    <w:multiLevelType w:val="hybridMultilevel"/>
    <w:tmpl w:val="F4E0DB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5"/>
  </w:num>
  <w:num w:numId="3">
    <w:abstractNumId w:val="6"/>
  </w:num>
  <w:num w:numId="4">
    <w:abstractNumId w:val="8"/>
  </w:num>
  <w:num w:numId="5">
    <w:abstractNumId w:val="3"/>
  </w:num>
  <w:num w:numId="6">
    <w:abstractNumId w:val="4"/>
  </w:num>
  <w:num w:numId="7">
    <w:abstractNumId w:val="1"/>
  </w:num>
  <w:num w:numId="8">
    <w:abstractNumId w:val="2"/>
  </w:num>
  <w:num w:numId="9">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lex Simmonds">
    <w15:presenceInfo w15:providerId="Windows Live" w15:userId="4a365d5a2cca09d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isplayBackgroundShape/>
  <w:embedSystemFonts/>
  <w:bordersDoNotSurroundHeader/>
  <w:bordersDoNotSurroundFooter/>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6E1"/>
    <w:rsid w:val="000330C8"/>
    <w:rsid w:val="0007564C"/>
    <w:rsid w:val="00094335"/>
    <w:rsid w:val="000F615B"/>
    <w:rsid w:val="00105E26"/>
    <w:rsid w:val="001807A6"/>
    <w:rsid w:val="00182199"/>
    <w:rsid w:val="0019596D"/>
    <w:rsid w:val="00197266"/>
    <w:rsid w:val="001A4B00"/>
    <w:rsid w:val="002523B4"/>
    <w:rsid w:val="002A04C6"/>
    <w:rsid w:val="00362490"/>
    <w:rsid w:val="0042775C"/>
    <w:rsid w:val="00432C94"/>
    <w:rsid w:val="004764DD"/>
    <w:rsid w:val="0049019F"/>
    <w:rsid w:val="004C062D"/>
    <w:rsid w:val="004D41D8"/>
    <w:rsid w:val="005135F6"/>
    <w:rsid w:val="00513E10"/>
    <w:rsid w:val="005375E9"/>
    <w:rsid w:val="00587495"/>
    <w:rsid w:val="00601EBF"/>
    <w:rsid w:val="00670B23"/>
    <w:rsid w:val="006A7AE6"/>
    <w:rsid w:val="006B1398"/>
    <w:rsid w:val="006E48A7"/>
    <w:rsid w:val="00707649"/>
    <w:rsid w:val="00722EEE"/>
    <w:rsid w:val="00753C57"/>
    <w:rsid w:val="0078312A"/>
    <w:rsid w:val="007B0A66"/>
    <w:rsid w:val="007C103A"/>
    <w:rsid w:val="00811C7C"/>
    <w:rsid w:val="0082039A"/>
    <w:rsid w:val="00823FA0"/>
    <w:rsid w:val="008C267E"/>
    <w:rsid w:val="00910C13"/>
    <w:rsid w:val="00977C78"/>
    <w:rsid w:val="00990597"/>
    <w:rsid w:val="00A02F09"/>
    <w:rsid w:val="00A61189"/>
    <w:rsid w:val="00AA2AD0"/>
    <w:rsid w:val="00B27446"/>
    <w:rsid w:val="00B33BDD"/>
    <w:rsid w:val="00B51235"/>
    <w:rsid w:val="00B73390"/>
    <w:rsid w:val="00B84C1F"/>
    <w:rsid w:val="00BD2565"/>
    <w:rsid w:val="00BE3ACC"/>
    <w:rsid w:val="00C026DE"/>
    <w:rsid w:val="00C226E1"/>
    <w:rsid w:val="00C40F6C"/>
    <w:rsid w:val="00C47EF6"/>
    <w:rsid w:val="00C52947"/>
    <w:rsid w:val="00D46D02"/>
    <w:rsid w:val="00DC5536"/>
    <w:rsid w:val="00E30DCB"/>
    <w:rsid w:val="00E4100E"/>
    <w:rsid w:val="00E62B2E"/>
    <w:rsid w:val="00E74F1D"/>
    <w:rsid w:val="00EC6722"/>
    <w:rsid w:val="00EC6826"/>
    <w:rsid w:val="00F02250"/>
    <w:rsid w:val="00F21052"/>
    <w:rsid w:val="00F253CE"/>
    <w:rsid w:val="00F30CAB"/>
    <w:rsid w:val="00F93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DC4D26B"/>
  <w15:chartTrackingRefBased/>
  <w15:docId w15:val="{D0638EA6-ED18-6849-8DE5-E7AE2E738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DengXian"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253CE"/>
    <w:rPr>
      <w:rFonts w:ascii="Arial" w:eastAsia="Arial" w:hAnsi="Arial" w:cs="Mangal"/>
      <w:kern w:val="1"/>
      <w:sz w:val="24"/>
      <w:szCs w:val="24"/>
      <w:lang w:eastAsia="hi-IN" w:bidi="hi-IN"/>
    </w:rPr>
  </w:style>
  <w:style w:type="paragraph" w:styleId="Heading1">
    <w:name w:val="heading 1"/>
    <w:basedOn w:val="Normal"/>
    <w:next w:val="Normal"/>
    <w:link w:val="Heading1Char"/>
    <w:uiPriority w:val="9"/>
    <w:qFormat/>
    <w:rsid w:val="00F253CE"/>
    <w:pPr>
      <w:keepNext/>
      <w:keepLines/>
      <w:spacing w:before="340" w:after="330" w:line="480" w:lineRule="auto"/>
      <w:jc w:val="center"/>
      <w:outlineLvl w:val="0"/>
    </w:pPr>
    <w:rPr>
      <w:b/>
      <w:bCs/>
      <w:kern w:val="44"/>
      <w:sz w:val="2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eastAsia="Microsoft YaHei"/>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suppressLineNumbers/>
      <w:tabs>
        <w:tab w:val="center" w:pos="4986"/>
        <w:tab w:val="right" w:pos="9972"/>
      </w:tabs>
    </w:pPr>
  </w:style>
  <w:style w:type="paragraph" w:styleId="Footer">
    <w:name w:val="footer"/>
    <w:basedOn w:val="Normal"/>
    <w:link w:val="FooterChar"/>
    <w:uiPriority w:val="99"/>
    <w:pPr>
      <w:suppressLineNumbers/>
      <w:tabs>
        <w:tab w:val="center" w:pos="4986"/>
        <w:tab w:val="right" w:pos="9972"/>
      </w:tabs>
    </w:pPr>
  </w:style>
  <w:style w:type="paragraph" w:styleId="Title">
    <w:name w:val="Title"/>
    <w:basedOn w:val="Normal"/>
    <w:link w:val="TitleChar"/>
    <w:uiPriority w:val="10"/>
    <w:qFormat/>
    <w:rsid w:val="000330C8"/>
    <w:pPr>
      <w:jc w:val="center"/>
    </w:pPr>
    <w:rPr>
      <w:rFonts w:ascii="Bookman Old Style" w:hAnsi="Bookman Old Style" w:cs="Arial"/>
      <w:b/>
      <w:bCs/>
      <w:iCs/>
      <w:kern w:val="0"/>
      <w:sz w:val="28"/>
      <w:szCs w:val="15"/>
      <w:u w:val="single"/>
      <w:lang w:val="en-GB" w:eastAsia="en-US" w:bidi="ar-SA"/>
    </w:rPr>
  </w:style>
  <w:style w:type="character" w:customStyle="1" w:styleId="TitleChar">
    <w:name w:val="Title Char"/>
    <w:link w:val="Title"/>
    <w:uiPriority w:val="10"/>
    <w:rsid w:val="000330C8"/>
    <w:rPr>
      <w:rFonts w:ascii="Bookman Old Style" w:eastAsia="SimSun" w:hAnsi="Bookman Old Style" w:cs="Arial"/>
      <w:b/>
      <w:bCs/>
      <w:iCs/>
      <w:sz w:val="28"/>
      <w:szCs w:val="15"/>
      <w:u w:val="single"/>
      <w:lang w:val="en-GB" w:eastAsia="en-US"/>
    </w:rPr>
  </w:style>
  <w:style w:type="table" w:styleId="TableGrid">
    <w:name w:val="Table Grid"/>
    <w:basedOn w:val="TableNormal"/>
    <w:uiPriority w:val="59"/>
    <w:rsid w:val="001807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F615B"/>
    <w:pPr>
      <w:spacing w:before="100" w:beforeAutospacing="1" w:after="100" w:afterAutospacing="1"/>
    </w:pPr>
    <w:rPr>
      <w:rFonts w:ascii="SimSun" w:hAnsi="SimSun" w:cs="SimSun"/>
      <w:kern w:val="0"/>
      <w:lang w:eastAsia="zh-CN" w:bidi="ar-SA"/>
    </w:rPr>
  </w:style>
  <w:style w:type="paragraph" w:styleId="ListParagraph">
    <w:name w:val="List Paragraph"/>
    <w:basedOn w:val="Normal"/>
    <w:uiPriority w:val="34"/>
    <w:qFormat/>
    <w:rsid w:val="001A4B00"/>
    <w:pPr>
      <w:ind w:firstLineChars="200" w:firstLine="420"/>
    </w:pPr>
    <w:rPr>
      <w:szCs w:val="21"/>
    </w:rPr>
  </w:style>
  <w:style w:type="character" w:customStyle="1" w:styleId="FooterChar">
    <w:name w:val="Footer Char"/>
    <w:basedOn w:val="DefaultParagraphFont"/>
    <w:link w:val="Footer"/>
    <w:uiPriority w:val="99"/>
    <w:rsid w:val="0078312A"/>
    <w:rPr>
      <w:rFonts w:eastAsia="SimSun" w:cs="Mangal"/>
      <w:kern w:val="1"/>
      <w:sz w:val="24"/>
      <w:szCs w:val="24"/>
      <w:lang w:eastAsia="hi-IN" w:bidi="hi-IN"/>
    </w:rPr>
  </w:style>
  <w:style w:type="character" w:customStyle="1" w:styleId="apple-converted-space">
    <w:name w:val="apple-converted-space"/>
    <w:basedOn w:val="DefaultParagraphFont"/>
    <w:rsid w:val="00F253CE"/>
  </w:style>
  <w:style w:type="character" w:styleId="Strong">
    <w:name w:val="Strong"/>
    <w:basedOn w:val="DefaultParagraphFont"/>
    <w:uiPriority w:val="22"/>
    <w:qFormat/>
    <w:rsid w:val="00F253CE"/>
    <w:rPr>
      <w:b/>
      <w:bCs/>
    </w:rPr>
  </w:style>
  <w:style w:type="character" w:customStyle="1" w:styleId="Heading1Char">
    <w:name w:val="Heading 1 Char"/>
    <w:basedOn w:val="DefaultParagraphFont"/>
    <w:link w:val="Heading1"/>
    <w:uiPriority w:val="9"/>
    <w:rsid w:val="00F253CE"/>
    <w:rPr>
      <w:rFonts w:ascii="Arial" w:eastAsia="Arial" w:hAnsi="Arial" w:cs="Mangal"/>
      <w:b/>
      <w:bCs/>
      <w:kern w:val="44"/>
      <w:szCs w:val="40"/>
      <w:lang w:eastAsia="hi-IN" w:bidi="hi-IN"/>
    </w:rPr>
  </w:style>
  <w:style w:type="paragraph" w:styleId="NoSpacing">
    <w:name w:val="No Spacing"/>
    <w:aliases w:val="标题·"/>
    <w:next w:val="Normal"/>
    <w:uiPriority w:val="1"/>
    <w:qFormat/>
    <w:rsid w:val="00F253CE"/>
    <w:pPr>
      <w:spacing w:line="480" w:lineRule="auto"/>
      <w:jc w:val="center"/>
    </w:pPr>
    <w:rPr>
      <w:rFonts w:ascii="Arial" w:eastAsia="Arial" w:hAnsi="Arial" w:cs="Mangal"/>
      <w:b/>
      <w:kern w:val="1"/>
      <w:szCs w:val="21"/>
      <w:lang w:eastAsia="hi-IN" w:bidi="hi-IN"/>
    </w:rPr>
  </w:style>
  <w:style w:type="paragraph" w:styleId="BalloonText">
    <w:name w:val="Balloon Text"/>
    <w:basedOn w:val="Normal"/>
    <w:link w:val="BalloonTextChar"/>
    <w:uiPriority w:val="99"/>
    <w:semiHidden/>
    <w:unhideWhenUsed/>
    <w:rsid w:val="00F932DE"/>
    <w:rPr>
      <w:rFonts w:ascii="Segoe UI" w:hAnsi="Segoe UI"/>
      <w:sz w:val="18"/>
      <w:szCs w:val="16"/>
    </w:rPr>
  </w:style>
  <w:style w:type="character" w:customStyle="1" w:styleId="BalloonTextChar">
    <w:name w:val="Balloon Text Char"/>
    <w:basedOn w:val="DefaultParagraphFont"/>
    <w:link w:val="BalloonText"/>
    <w:uiPriority w:val="99"/>
    <w:semiHidden/>
    <w:rsid w:val="00F932DE"/>
    <w:rPr>
      <w:rFonts w:ascii="Segoe UI" w:eastAsia="Arial" w:hAnsi="Segoe UI" w:cs="Mangal"/>
      <w:kern w:val="1"/>
      <w:sz w:val="18"/>
      <w:szCs w:val="16"/>
      <w:lang w:eastAsia="hi-IN" w:bidi="hi-IN"/>
    </w:rPr>
  </w:style>
  <w:style w:type="character" w:styleId="CommentReference">
    <w:name w:val="annotation reference"/>
    <w:basedOn w:val="DefaultParagraphFont"/>
    <w:uiPriority w:val="99"/>
    <w:semiHidden/>
    <w:unhideWhenUsed/>
    <w:rsid w:val="00F932DE"/>
    <w:rPr>
      <w:sz w:val="16"/>
      <w:szCs w:val="16"/>
    </w:rPr>
  </w:style>
  <w:style w:type="paragraph" w:styleId="CommentText">
    <w:name w:val="annotation text"/>
    <w:basedOn w:val="Normal"/>
    <w:link w:val="CommentTextChar"/>
    <w:uiPriority w:val="99"/>
    <w:semiHidden/>
    <w:unhideWhenUsed/>
    <w:rsid w:val="00F932DE"/>
    <w:rPr>
      <w:sz w:val="20"/>
      <w:szCs w:val="18"/>
    </w:rPr>
  </w:style>
  <w:style w:type="character" w:customStyle="1" w:styleId="CommentTextChar">
    <w:name w:val="Comment Text Char"/>
    <w:basedOn w:val="DefaultParagraphFont"/>
    <w:link w:val="CommentText"/>
    <w:uiPriority w:val="99"/>
    <w:semiHidden/>
    <w:rsid w:val="00F932DE"/>
    <w:rPr>
      <w:rFonts w:ascii="Arial" w:eastAsia="Arial" w:hAnsi="Arial" w:cs="Mangal"/>
      <w:kern w:val="1"/>
      <w:szCs w:val="18"/>
      <w:lang w:eastAsia="hi-IN" w:bidi="hi-IN"/>
    </w:rPr>
  </w:style>
  <w:style w:type="paragraph" w:styleId="CommentSubject">
    <w:name w:val="annotation subject"/>
    <w:basedOn w:val="CommentText"/>
    <w:next w:val="CommentText"/>
    <w:link w:val="CommentSubjectChar"/>
    <w:uiPriority w:val="99"/>
    <w:semiHidden/>
    <w:unhideWhenUsed/>
    <w:rsid w:val="00F932DE"/>
    <w:rPr>
      <w:b/>
      <w:bCs/>
    </w:rPr>
  </w:style>
  <w:style w:type="character" w:customStyle="1" w:styleId="CommentSubjectChar">
    <w:name w:val="Comment Subject Char"/>
    <w:basedOn w:val="CommentTextChar"/>
    <w:link w:val="CommentSubject"/>
    <w:uiPriority w:val="99"/>
    <w:semiHidden/>
    <w:rsid w:val="00F932DE"/>
    <w:rPr>
      <w:rFonts w:ascii="Arial" w:eastAsia="Arial" w:hAnsi="Arial" w:cs="Mangal"/>
      <w:b/>
      <w:bCs/>
      <w:kern w:val="1"/>
      <w:szCs w:val="18"/>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536269">
      <w:bodyDiv w:val="1"/>
      <w:marLeft w:val="0"/>
      <w:marRight w:val="0"/>
      <w:marTop w:val="0"/>
      <w:marBottom w:val="0"/>
      <w:divBdr>
        <w:top w:val="none" w:sz="0" w:space="0" w:color="auto"/>
        <w:left w:val="none" w:sz="0" w:space="0" w:color="auto"/>
        <w:bottom w:val="none" w:sz="0" w:space="0" w:color="auto"/>
        <w:right w:val="none" w:sz="0" w:space="0" w:color="auto"/>
      </w:divBdr>
      <w:divsChild>
        <w:div w:id="321390931">
          <w:marLeft w:val="720"/>
          <w:marRight w:val="0"/>
          <w:marTop w:val="0"/>
          <w:marBottom w:val="285"/>
          <w:divBdr>
            <w:top w:val="none" w:sz="0" w:space="0" w:color="auto"/>
            <w:left w:val="none" w:sz="0" w:space="0" w:color="auto"/>
            <w:bottom w:val="none" w:sz="0" w:space="0" w:color="auto"/>
            <w:right w:val="none" w:sz="0" w:space="0" w:color="auto"/>
          </w:divBdr>
        </w:div>
        <w:div w:id="670106506">
          <w:marLeft w:val="720"/>
          <w:marRight w:val="0"/>
          <w:marTop w:val="0"/>
          <w:marBottom w:val="285"/>
          <w:divBdr>
            <w:top w:val="none" w:sz="0" w:space="0" w:color="auto"/>
            <w:left w:val="none" w:sz="0" w:space="0" w:color="auto"/>
            <w:bottom w:val="none" w:sz="0" w:space="0" w:color="auto"/>
            <w:right w:val="none" w:sz="0" w:space="0" w:color="auto"/>
          </w:divBdr>
        </w:div>
        <w:div w:id="1211921924">
          <w:marLeft w:val="720"/>
          <w:marRight w:val="0"/>
          <w:marTop w:val="0"/>
          <w:marBottom w:val="285"/>
          <w:divBdr>
            <w:top w:val="none" w:sz="0" w:space="0" w:color="auto"/>
            <w:left w:val="none" w:sz="0" w:space="0" w:color="auto"/>
            <w:bottom w:val="none" w:sz="0" w:space="0" w:color="auto"/>
            <w:right w:val="none" w:sz="0" w:space="0" w:color="auto"/>
          </w:divBdr>
        </w:div>
        <w:div w:id="1348365924">
          <w:marLeft w:val="720"/>
          <w:marRight w:val="0"/>
          <w:marTop w:val="0"/>
          <w:marBottom w:val="285"/>
          <w:divBdr>
            <w:top w:val="none" w:sz="0" w:space="0" w:color="auto"/>
            <w:left w:val="none" w:sz="0" w:space="0" w:color="auto"/>
            <w:bottom w:val="none" w:sz="0" w:space="0" w:color="auto"/>
            <w:right w:val="none" w:sz="0" w:space="0" w:color="auto"/>
          </w:divBdr>
        </w:div>
      </w:divsChild>
    </w:div>
    <w:div w:id="290744714">
      <w:bodyDiv w:val="1"/>
      <w:marLeft w:val="0"/>
      <w:marRight w:val="0"/>
      <w:marTop w:val="0"/>
      <w:marBottom w:val="0"/>
      <w:divBdr>
        <w:top w:val="none" w:sz="0" w:space="0" w:color="auto"/>
        <w:left w:val="none" w:sz="0" w:space="0" w:color="auto"/>
        <w:bottom w:val="none" w:sz="0" w:space="0" w:color="auto"/>
        <w:right w:val="none" w:sz="0" w:space="0" w:color="auto"/>
      </w:divBdr>
      <w:divsChild>
        <w:div w:id="681053299">
          <w:marLeft w:val="0"/>
          <w:marRight w:val="0"/>
          <w:marTop w:val="0"/>
          <w:marBottom w:val="0"/>
          <w:divBdr>
            <w:top w:val="none" w:sz="0" w:space="0" w:color="auto"/>
            <w:left w:val="none" w:sz="0" w:space="0" w:color="auto"/>
            <w:bottom w:val="none" w:sz="0" w:space="0" w:color="auto"/>
            <w:right w:val="none" w:sz="0" w:space="0" w:color="auto"/>
          </w:divBdr>
          <w:divsChild>
            <w:div w:id="1490176209">
              <w:marLeft w:val="0"/>
              <w:marRight w:val="0"/>
              <w:marTop w:val="0"/>
              <w:marBottom w:val="0"/>
              <w:divBdr>
                <w:top w:val="none" w:sz="0" w:space="0" w:color="auto"/>
                <w:left w:val="none" w:sz="0" w:space="0" w:color="auto"/>
                <w:bottom w:val="none" w:sz="0" w:space="0" w:color="auto"/>
                <w:right w:val="none" w:sz="0" w:space="0" w:color="auto"/>
              </w:divBdr>
              <w:divsChild>
                <w:div w:id="121092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684322">
      <w:bodyDiv w:val="1"/>
      <w:marLeft w:val="0"/>
      <w:marRight w:val="0"/>
      <w:marTop w:val="0"/>
      <w:marBottom w:val="0"/>
      <w:divBdr>
        <w:top w:val="none" w:sz="0" w:space="0" w:color="auto"/>
        <w:left w:val="none" w:sz="0" w:space="0" w:color="auto"/>
        <w:bottom w:val="none" w:sz="0" w:space="0" w:color="auto"/>
        <w:right w:val="none" w:sz="0" w:space="0" w:color="auto"/>
      </w:divBdr>
      <w:divsChild>
        <w:div w:id="762409321">
          <w:marLeft w:val="0"/>
          <w:marRight w:val="0"/>
          <w:marTop w:val="0"/>
          <w:marBottom w:val="0"/>
          <w:divBdr>
            <w:top w:val="none" w:sz="0" w:space="0" w:color="auto"/>
            <w:left w:val="none" w:sz="0" w:space="0" w:color="auto"/>
            <w:bottom w:val="none" w:sz="0" w:space="0" w:color="auto"/>
            <w:right w:val="none" w:sz="0" w:space="0" w:color="auto"/>
          </w:divBdr>
          <w:divsChild>
            <w:div w:id="2117361101">
              <w:marLeft w:val="0"/>
              <w:marRight w:val="0"/>
              <w:marTop w:val="0"/>
              <w:marBottom w:val="0"/>
              <w:divBdr>
                <w:top w:val="none" w:sz="0" w:space="0" w:color="auto"/>
                <w:left w:val="none" w:sz="0" w:space="0" w:color="auto"/>
                <w:bottom w:val="none" w:sz="0" w:space="0" w:color="auto"/>
                <w:right w:val="none" w:sz="0" w:space="0" w:color="auto"/>
              </w:divBdr>
              <w:divsChild>
                <w:div w:id="194152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40CFA-A491-504A-A3B3-03A9CE1CA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1224</Words>
  <Characters>6184</Characters>
  <Application>Microsoft Office Word</Application>
  <DocSecurity>0</DocSecurity>
  <Lines>110</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Haughie</dc:creator>
  <cp:keywords/>
  <cp:lastModifiedBy>Alexander Simmonds</cp:lastModifiedBy>
  <cp:revision>2</cp:revision>
  <cp:lastPrinted>2016-12-28T04:21:00Z</cp:lastPrinted>
  <dcterms:created xsi:type="dcterms:W3CDTF">2020-04-04T22:25:00Z</dcterms:created>
  <dcterms:modified xsi:type="dcterms:W3CDTF">2020-04-04T22:25:00Z</dcterms:modified>
</cp:coreProperties>
</file>